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26ADFD" w14:textId="4342D37E" w:rsidR="00C10D58" w:rsidRPr="0031382F" w:rsidRDefault="00B32CCF" w:rsidP="0031382F">
      <w:pPr>
        <w:spacing w:after="139" w:line="259" w:lineRule="auto"/>
        <w:ind w:left="0" w:right="5" w:firstLine="0"/>
        <w:jc w:val="right"/>
        <w:rPr>
          <w:bCs/>
          <w:color w:val="auto"/>
          <w:sz w:val="20"/>
          <w:szCs w:val="20"/>
        </w:rPr>
      </w:pPr>
      <w:r w:rsidRPr="0031382F">
        <w:rPr>
          <w:bCs/>
          <w:color w:val="auto"/>
          <w:sz w:val="20"/>
          <w:szCs w:val="20"/>
        </w:rPr>
        <w:t xml:space="preserve">Załącznik nr 2 do Regulaminu </w:t>
      </w:r>
      <w:r w:rsidR="00DF4FE2" w:rsidRPr="0031382F">
        <w:rPr>
          <w:bCs/>
          <w:color w:val="auto"/>
          <w:sz w:val="20"/>
          <w:szCs w:val="20"/>
        </w:rPr>
        <w:t>wyboru projektów</w:t>
      </w:r>
      <w:r w:rsidRPr="0031382F">
        <w:rPr>
          <w:bCs/>
          <w:color w:val="auto"/>
          <w:sz w:val="20"/>
          <w:szCs w:val="20"/>
        </w:rPr>
        <w:t xml:space="preserve"> </w:t>
      </w:r>
    </w:p>
    <w:p w14:paraId="6FED775B" w14:textId="77777777" w:rsidR="00C10D58" w:rsidRPr="001A6E70" w:rsidRDefault="00B32CCF">
      <w:pPr>
        <w:spacing w:after="139" w:line="259" w:lineRule="auto"/>
        <w:ind w:left="50" w:right="0" w:firstLine="0"/>
        <w:jc w:val="center"/>
        <w:rPr>
          <w:color w:val="auto"/>
        </w:rPr>
      </w:pPr>
      <w:r w:rsidRPr="001A6E70">
        <w:rPr>
          <w:b/>
          <w:color w:val="auto"/>
        </w:rPr>
        <w:t xml:space="preserve"> </w:t>
      </w:r>
    </w:p>
    <w:p w14:paraId="7FDFD83C" w14:textId="62AB0F8D" w:rsidR="00643600" w:rsidRDefault="00643600" w:rsidP="00643600">
      <w:pPr>
        <w:spacing w:after="232" w:line="259" w:lineRule="auto"/>
        <w:ind w:left="0" w:right="9" w:firstLine="0"/>
        <w:jc w:val="center"/>
        <w:rPr>
          <w:b/>
          <w:color w:val="auto"/>
          <w:sz w:val="28"/>
          <w:szCs w:val="28"/>
        </w:rPr>
      </w:pPr>
      <w:r>
        <w:rPr>
          <w:b/>
          <w:color w:val="auto"/>
          <w:sz w:val="28"/>
          <w:szCs w:val="28"/>
        </w:rPr>
        <w:t xml:space="preserve">Katalog wydatków kwalifikowalnych i niekwalifikowalnych </w:t>
      </w:r>
    </w:p>
    <w:p w14:paraId="2FA846B9" w14:textId="77777777" w:rsidR="00643600" w:rsidRDefault="00643600" w:rsidP="00643600">
      <w:pPr>
        <w:spacing w:after="232" w:line="259" w:lineRule="auto"/>
        <w:ind w:left="0" w:right="9" w:firstLine="0"/>
        <w:jc w:val="center"/>
        <w:rPr>
          <w:b/>
          <w:color w:val="auto"/>
          <w:sz w:val="28"/>
          <w:szCs w:val="28"/>
        </w:rPr>
      </w:pPr>
    </w:p>
    <w:p w14:paraId="54CE6B5E" w14:textId="3776929C" w:rsidR="00643600" w:rsidRPr="00643600" w:rsidRDefault="00643600" w:rsidP="00643600">
      <w:pPr>
        <w:spacing w:after="232" w:line="259" w:lineRule="auto"/>
        <w:ind w:left="0" w:right="9" w:firstLine="0"/>
        <w:rPr>
          <w:b/>
          <w:bCs/>
          <w:color w:val="auto"/>
          <w:szCs w:val="24"/>
        </w:rPr>
      </w:pPr>
      <w:r w:rsidRPr="00643600">
        <w:rPr>
          <w:color w:val="auto"/>
          <w:szCs w:val="24"/>
        </w:rPr>
        <w:t xml:space="preserve">Działanie </w:t>
      </w:r>
      <w:r w:rsidR="00B32CCF" w:rsidRPr="00643600">
        <w:rPr>
          <w:b/>
          <w:bCs/>
          <w:color w:val="auto"/>
          <w:szCs w:val="24"/>
        </w:rPr>
        <w:t>FELB.02.0</w:t>
      </w:r>
      <w:r w:rsidR="00F82AC2">
        <w:rPr>
          <w:b/>
          <w:bCs/>
          <w:color w:val="auto"/>
          <w:szCs w:val="24"/>
        </w:rPr>
        <w:t>6</w:t>
      </w:r>
      <w:r w:rsidR="00B32CCF" w:rsidRPr="00643600">
        <w:rPr>
          <w:b/>
          <w:bCs/>
          <w:color w:val="auto"/>
          <w:szCs w:val="24"/>
        </w:rPr>
        <w:t xml:space="preserve"> </w:t>
      </w:r>
      <w:r w:rsidR="00F82AC2">
        <w:rPr>
          <w:b/>
          <w:bCs/>
          <w:color w:val="auto"/>
          <w:szCs w:val="24"/>
        </w:rPr>
        <w:t>Adaptacja do zmian klimatu</w:t>
      </w:r>
      <w:r w:rsidRPr="00643600">
        <w:rPr>
          <w:b/>
          <w:bCs/>
          <w:color w:val="auto"/>
          <w:szCs w:val="24"/>
        </w:rPr>
        <w:t>.</w:t>
      </w:r>
    </w:p>
    <w:p w14:paraId="03C006A3" w14:textId="61749E85" w:rsidR="00F131DE" w:rsidRDefault="00B17364" w:rsidP="00643600">
      <w:pPr>
        <w:spacing w:after="232" w:line="259" w:lineRule="auto"/>
        <w:ind w:left="0" w:right="9" w:firstLine="0"/>
        <w:rPr>
          <w:b/>
          <w:bCs/>
          <w:color w:val="auto"/>
          <w:szCs w:val="24"/>
        </w:rPr>
      </w:pPr>
      <w:r w:rsidRPr="00643600">
        <w:rPr>
          <w:color w:val="auto"/>
          <w:szCs w:val="24"/>
        </w:rPr>
        <w:t>TYP</w:t>
      </w:r>
      <w:r w:rsidR="00643600">
        <w:rPr>
          <w:color w:val="auto"/>
          <w:szCs w:val="24"/>
        </w:rPr>
        <w:t xml:space="preserve"> projektu</w:t>
      </w:r>
      <w:r w:rsidRPr="00643600">
        <w:rPr>
          <w:color w:val="auto"/>
          <w:szCs w:val="24"/>
        </w:rPr>
        <w:t xml:space="preserve"> </w:t>
      </w:r>
      <w:r w:rsidR="00643600">
        <w:rPr>
          <w:color w:val="auto"/>
          <w:szCs w:val="24"/>
        </w:rPr>
        <w:t>„</w:t>
      </w:r>
      <w:r w:rsidR="00F82AC2" w:rsidRPr="00F82AC2">
        <w:rPr>
          <w:b/>
          <w:bCs/>
          <w:color w:val="auto"/>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r w:rsidR="00F131DE" w:rsidRPr="00643600">
        <w:rPr>
          <w:b/>
          <w:bCs/>
          <w:color w:val="auto"/>
          <w:szCs w:val="24"/>
        </w:rPr>
        <w:t>”.</w:t>
      </w:r>
    </w:p>
    <w:p w14:paraId="08B8EEC2" w14:textId="3F6B5237" w:rsidR="00F82AC2" w:rsidRPr="00643600" w:rsidRDefault="00F82AC2" w:rsidP="00643600">
      <w:pPr>
        <w:spacing w:after="232" w:line="259" w:lineRule="auto"/>
        <w:ind w:left="0" w:right="9" w:firstLine="0"/>
        <w:rPr>
          <w:b/>
          <w:color w:val="auto"/>
          <w:szCs w:val="24"/>
        </w:rPr>
      </w:pPr>
      <w:r w:rsidRPr="00F82AC2">
        <w:rPr>
          <w:b/>
          <w:color w:val="auto"/>
          <w:szCs w:val="24"/>
        </w:rPr>
        <w:t>Jako element uzupełniający będzie możliwość realizacji elementów edukacji w obszarze zmian klimatycznych oraz ochrony zasobów wodnych.</w:t>
      </w:r>
    </w:p>
    <w:p w14:paraId="6BE0F901" w14:textId="77777777" w:rsidR="00643600" w:rsidRPr="00643600" w:rsidRDefault="00643600" w:rsidP="00F131DE">
      <w:pPr>
        <w:spacing w:after="19" w:line="259" w:lineRule="auto"/>
        <w:ind w:left="0" w:right="0" w:firstLine="0"/>
        <w:rPr>
          <w:color w:val="auto"/>
          <w:szCs w:val="24"/>
        </w:rPr>
      </w:pPr>
    </w:p>
    <w:p w14:paraId="36548129" w14:textId="76663DCD" w:rsidR="00C10D58" w:rsidRPr="00643600" w:rsidRDefault="00B32CCF" w:rsidP="00643600">
      <w:pPr>
        <w:spacing w:after="120" w:line="259" w:lineRule="auto"/>
        <w:ind w:left="0" w:right="0" w:firstLine="0"/>
        <w:rPr>
          <w:color w:val="FF0000"/>
          <w:szCs w:val="24"/>
        </w:rPr>
      </w:pPr>
      <w:r w:rsidRPr="00643600">
        <w:rPr>
          <w:color w:val="auto"/>
          <w:szCs w:val="24"/>
        </w:rPr>
        <w:t xml:space="preserve">Początkiem okresu kwalifikowalności wydatków jest </w:t>
      </w:r>
      <w:r w:rsidRPr="00643600">
        <w:rPr>
          <w:b/>
          <w:color w:val="auto"/>
          <w:szCs w:val="24"/>
          <w:u w:val="single" w:color="000000"/>
        </w:rPr>
        <w:t>1 stycznia 2021 r.</w:t>
      </w:r>
      <w:r w:rsidRPr="00643600">
        <w:rPr>
          <w:color w:val="auto"/>
          <w:szCs w:val="24"/>
        </w:rPr>
        <w:t xml:space="preserve"> W</w:t>
      </w:r>
      <w:r w:rsidR="006D5A36" w:rsidRPr="00643600">
        <w:rPr>
          <w:color w:val="auto"/>
          <w:szCs w:val="24"/>
        </w:rPr>
        <w:t> </w:t>
      </w:r>
      <w:r w:rsidRPr="00643600">
        <w:rPr>
          <w:color w:val="auto"/>
          <w:szCs w:val="24"/>
        </w:rPr>
        <w:t xml:space="preserve"> przypadku projektów rozpoczętych przed początkową datą kwalifikowalności wydatków, do współfinansowania kwalifikują się jedynie wydatki faktycznie poniesione od tej daty. Wydatki poniesione wcześniej nie stanowią wydatku kwalifikowalnego. Końcową data kwalifikowalności wydatków jest dzień </w:t>
      </w:r>
      <w:r w:rsidRPr="00643600">
        <w:rPr>
          <w:b/>
          <w:color w:val="auto"/>
          <w:szCs w:val="24"/>
          <w:u w:val="single" w:color="000000"/>
        </w:rPr>
        <w:t>31 grudnia 2029 r.</w:t>
      </w:r>
      <w:r w:rsidRPr="00643600">
        <w:rPr>
          <w:b/>
          <w:color w:val="auto"/>
          <w:szCs w:val="24"/>
        </w:rPr>
        <w:t xml:space="preserve"> </w:t>
      </w:r>
    </w:p>
    <w:p w14:paraId="62EBE553" w14:textId="0A59A4EC" w:rsidR="00C10D58" w:rsidRPr="00643600" w:rsidRDefault="00B32CCF" w:rsidP="00643600">
      <w:pPr>
        <w:spacing w:after="120"/>
        <w:ind w:left="-15" w:right="0" w:firstLine="708"/>
        <w:rPr>
          <w:color w:val="auto"/>
          <w:szCs w:val="24"/>
        </w:rPr>
      </w:pPr>
      <w:r w:rsidRPr="00643600">
        <w:rPr>
          <w:color w:val="auto"/>
          <w:szCs w:val="24"/>
        </w:rPr>
        <w:t xml:space="preserve">Do wsparcia kwalifikują się wyłącznie te  projekty, które nie zostały fizycznie (tj. rzeczowo) ukończone lub w pełni zrealizowane </w:t>
      </w:r>
      <w:r w:rsidRPr="00643600">
        <w:rPr>
          <w:color w:val="auto"/>
          <w:szCs w:val="24"/>
          <w:u w:val="single" w:color="000000"/>
        </w:rPr>
        <w:t>przed złożeniem wniosku o</w:t>
      </w:r>
      <w:r w:rsidR="006D5A36" w:rsidRPr="00643600">
        <w:rPr>
          <w:color w:val="auto"/>
          <w:szCs w:val="24"/>
          <w:u w:val="single" w:color="000000"/>
        </w:rPr>
        <w:t> </w:t>
      </w:r>
      <w:r w:rsidRPr="00643600">
        <w:rPr>
          <w:color w:val="auto"/>
          <w:szCs w:val="24"/>
          <w:u w:val="single" w:color="000000"/>
        </w:rPr>
        <w:t xml:space="preserve"> dofinansowanie</w:t>
      </w:r>
      <w:r w:rsidRPr="00643600">
        <w:rPr>
          <w:color w:val="auto"/>
          <w:szCs w:val="24"/>
        </w:rPr>
        <w:t xml:space="preserve"> w ramach ogłoszonego naboru, niezależnie od tego, czy wszystkie powiązane płatności zostały dokonane przez Beneficjenta. </w:t>
      </w:r>
    </w:p>
    <w:p w14:paraId="62B6D17C" w14:textId="5CABE9C8" w:rsidR="00C10D58" w:rsidRPr="00643600" w:rsidRDefault="00B32CCF" w:rsidP="00B631B1">
      <w:pPr>
        <w:ind w:left="-5" w:right="0"/>
        <w:rPr>
          <w:color w:val="auto"/>
          <w:szCs w:val="24"/>
        </w:rPr>
      </w:pPr>
      <w:r w:rsidRPr="00643600">
        <w:rPr>
          <w:color w:val="auto"/>
          <w:szCs w:val="24"/>
        </w:rPr>
        <w:t xml:space="preserve"> </w:t>
      </w:r>
      <w:r w:rsidRPr="00643600">
        <w:rPr>
          <w:b/>
          <w:color w:val="auto"/>
          <w:szCs w:val="24"/>
          <w:u w:val="single" w:color="000000"/>
        </w:rPr>
        <w:t>Ocena kwalifikowalności wydatku</w:t>
      </w:r>
      <w:r w:rsidRPr="00643600">
        <w:rPr>
          <w:color w:val="auto"/>
          <w:szCs w:val="24"/>
        </w:rPr>
        <w:t xml:space="preserve"> polega na analizie jego poniesienia zgodnie</w:t>
      </w:r>
      <w:r w:rsidR="006D5A36" w:rsidRPr="00643600">
        <w:rPr>
          <w:color w:val="auto"/>
          <w:szCs w:val="24"/>
        </w:rPr>
        <w:t xml:space="preserve"> </w:t>
      </w:r>
      <w:r w:rsidRPr="00643600">
        <w:rPr>
          <w:color w:val="auto"/>
          <w:szCs w:val="24"/>
        </w:rPr>
        <w:t>z</w:t>
      </w:r>
      <w:r w:rsidR="006D5A36" w:rsidRPr="00643600">
        <w:rPr>
          <w:color w:val="auto"/>
          <w:szCs w:val="24"/>
        </w:rPr>
        <w:t> </w:t>
      </w:r>
      <w:r w:rsidRPr="00643600">
        <w:rPr>
          <w:color w:val="auto"/>
          <w:szCs w:val="24"/>
        </w:rPr>
        <w:t xml:space="preserve"> obowiązującymi przepisami prawa unijnego i prawa krajowego, umową o</w:t>
      </w:r>
      <w:r w:rsidR="006D5A36" w:rsidRPr="00643600">
        <w:rPr>
          <w:color w:val="auto"/>
          <w:szCs w:val="24"/>
        </w:rPr>
        <w:t> </w:t>
      </w:r>
      <w:r w:rsidRPr="00643600">
        <w:rPr>
          <w:color w:val="auto"/>
          <w:szCs w:val="24"/>
        </w:rPr>
        <w:t xml:space="preserve"> dofinansowanie/ decyzją/porozumieniem, </w:t>
      </w:r>
      <w:r w:rsidRPr="00643600">
        <w:rPr>
          <w:i/>
          <w:color w:val="auto"/>
          <w:szCs w:val="24"/>
        </w:rPr>
        <w:t>Wytycznymi Minister Funduszy i Polityki Regionalnej dotyczące kwalifikowalności wydatków na lata 2021-2027</w:t>
      </w:r>
      <w:r w:rsidRPr="00643600">
        <w:rPr>
          <w:color w:val="auto"/>
          <w:szCs w:val="24"/>
        </w:rPr>
        <w:t xml:space="preserve"> z 18 listopada 2022 r. (zwanymi dalej Wytycznymi) oraz innymi dokumentami, do których stosowania Beneficjent zobowiązał się w umowie  o dofinansowanie/decyzji/ porozumieniu.  </w:t>
      </w:r>
    </w:p>
    <w:p w14:paraId="1A8F803B" w14:textId="4A348FFF" w:rsidR="00C10D58" w:rsidRPr="00643600" w:rsidRDefault="00B32CCF">
      <w:pPr>
        <w:ind w:left="-5" w:right="0"/>
        <w:rPr>
          <w:color w:val="auto"/>
          <w:szCs w:val="24"/>
        </w:rPr>
      </w:pPr>
      <w:r w:rsidRPr="00643600">
        <w:rPr>
          <w:color w:val="FF0000"/>
          <w:szCs w:val="24"/>
        </w:rPr>
        <w:t xml:space="preserve"> </w:t>
      </w:r>
      <w:r w:rsidRPr="00643600">
        <w:rPr>
          <w:color w:val="auto"/>
          <w:szCs w:val="24"/>
        </w:rPr>
        <w:t xml:space="preserve">Na etapie oceny formalnej oraz oceny merytorycznej projektu o dofinansowanie dokonywana jest ocena kwalifikowalności </w:t>
      </w:r>
      <w:r w:rsidRPr="00643600">
        <w:rPr>
          <w:b/>
          <w:color w:val="auto"/>
          <w:szCs w:val="24"/>
          <w:u w:val="single" w:color="000000"/>
        </w:rPr>
        <w:t>planowanych</w:t>
      </w:r>
      <w:r w:rsidRPr="00643600">
        <w:rPr>
          <w:color w:val="auto"/>
          <w:szCs w:val="24"/>
        </w:rPr>
        <w:t xml:space="preserve"> wydatków. </w:t>
      </w:r>
      <w:r w:rsidRPr="00643600">
        <w:rPr>
          <w:color w:val="auto"/>
          <w:szCs w:val="24"/>
          <w:u w:val="single" w:color="000000"/>
        </w:rPr>
        <w:t>Pozytywna ocena i przyznanie dofinansowania</w:t>
      </w:r>
      <w:r w:rsidRPr="00643600">
        <w:rPr>
          <w:color w:val="auto"/>
          <w:szCs w:val="24"/>
        </w:rPr>
        <w:t xml:space="preserve"> </w:t>
      </w:r>
      <w:r w:rsidRPr="00643600">
        <w:rPr>
          <w:color w:val="auto"/>
          <w:szCs w:val="24"/>
          <w:u w:val="single" w:color="000000"/>
        </w:rPr>
        <w:t>na realizację projektu i podpisanie z Beneficjentem umowy o dofinansowanie nie oznacza, że wszystkie</w:t>
      </w:r>
      <w:r w:rsidRPr="00643600">
        <w:rPr>
          <w:color w:val="auto"/>
          <w:szCs w:val="24"/>
        </w:rPr>
        <w:t xml:space="preserve"> </w:t>
      </w:r>
      <w:r w:rsidRPr="00643600">
        <w:rPr>
          <w:color w:val="auto"/>
          <w:szCs w:val="24"/>
          <w:u w:val="single" w:color="000000"/>
        </w:rPr>
        <w:t>wydatki, które Beneficjent przedstawi we wniosku o płatność w trakcie realizacji projektu na pewno będą</w:t>
      </w:r>
      <w:r w:rsidRPr="00643600">
        <w:rPr>
          <w:color w:val="auto"/>
          <w:szCs w:val="24"/>
        </w:rPr>
        <w:t xml:space="preserve"> </w:t>
      </w:r>
      <w:r w:rsidRPr="00643600">
        <w:rPr>
          <w:color w:val="auto"/>
          <w:szCs w:val="24"/>
          <w:u w:val="single" w:color="000000"/>
        </w:rPr>
        <w:t>zrefundowane lub rozliczone (w przypadku zaliczek).</w:t>
      </w:r>
      <w:r w:rsidRPr="00643600">
        <w:rPr>
          <w:color w:val="auto"/>
          <w:szCs w:val="24"/>
        </w:rPr>
        <w:t xml:space="preserve"> Kwalifikowalność wydatków jest również oceniana w trakcie realizacji projektu, kiedy Beneficjent przedkłada kolejne wnioski o płatność oraz podczas kontroli projektu. Ocena kwalifikowalności poniesionych wydatków jest prowadzona także  po zakończeniu realizacji projektu – </w:t>
      </w:r>
      <w:r w:rsidRPr="00643600">
        <w:rPr>
          <w:color w:val="auto"/>
          <w:szCs w:val="24"/>
        </w:rPr>
        <w:lastRenderedPageBreak/>
        <w:t>w</w:t>
      </w:r>
      <w:r w:rsidR="006D5A36" w:rsidRPr="00643600">
        <w:rPr>
          <w:color w:val="auto"/>
          <w:szCs w:val="24"/>
        </w:rPr>
        <w:t> </w:t>
      </w:r>
      <w:r w:rsidRPr="00643600">
        <w:rPr>
          <w:color w:val="auto"/>
          <w:szCs w:val="24"/>
        </w:rPr>
        <w:t xml:space="preserve"> zakresie obowiązków nałożonych na Beneficjenta Umową  o dofinansowanie oraz wynikających z przepisów prawa. </w:t>
      </w:r>
    </w:p>
    <w:p w14:paraId="0E37066B" w14:textId="77777777" w:rsidR="00C10D58" w:rsidRPr="00643600" w:rsidRDefault="00B32CCF">
      <w:pPr>
        <w:ind w:left="718" w:right="0"/>
        <w:rPr>
          <w:color w:val="auto"/>
          <w:szCs w:val="24"/>
        </w:rPr>
      </w:pPr>
      <w:r w:rsidRPr="00643600">
        <w:rPr>
          <w:color w:val="auto"/>
          <w:szCs w:val="24"/>
        </w:rPr>
        <w:t xml:space="preserve">W trakcie realizacji projektu sprawdzeniu podlega </w:t>
      </w:r>
      <w:r w:rsidRPr="00643600">
        <w:rPr>
          <w:color w:val="auto"/>
          <w:szCs w:val="24"/>
          <w:u w:val="single" w:color="000000"/>
        </w:rPr>
        <w:t>w szczególności:</w:t>
      </w:r>
      <w:r w:rsidRPr="00643600">
        <w:rPr>
          <w:color w:val="auto"/>
          <w:szCs w:val="24"/>
        </w:rPr>
        <w:t xml:space="preserve"> </w:t>
      </w:r>
    </w:p>
    <w:p w14:paraId="3F111B73" w14:textId="77777777" w:rsidR="00B17364" w:rsidRPr="00643600" w:rsidRDefault="00B32CCF" w:rsidP="00B17364">
      <w:pPr>
        <w:pStyle w:val="Akapitzlist"/>
        <w:numPr>
          <w:ilvl w:val="0"/>
          <w:numId w:val="5"/>
        </w:numPr>
        <w:ind w:right="0"/>
        <w:rPr>
          <w:color w:val="auto"/>
          <w:szCs w:val="24"/>
        </w:rPr>
      </w:pPr>
      <w:r w:rsidRPr="00643600">
        <w:rPr>
          <w:color w:val="auto"/>
          <w:szCs w:val="24"/>
        </w:rPr>
        <w:t xml:space="preserve">jest zgodny z przepisami prawa, </w:t>
      </w:r>
    </w:p>
    <w:p w14:paraId="1C2048FC" w14:textId="5D850A84" w:rsidR="00B17364" w:rsidRPr="00643600" w:rsidRDefault="00B32CCF" w:rsidP="00B17364">
      <w:pPr>
        <w:pStyle w:val="Akapitzlist"/>
        <w:numPr>
          <w:ilvl w:val="0"/>
          <w:numId w:val="5"/>
        </w:numPr>
        <w:ind w:right="0"/>
        <w:rPr>
          <w:color w:val="auto"/>
          <w:szCs w:val="24"/>
        </w:rPr>
      </w:pPr>
      <w:r w:rsidRPr="00643600">
        <w:rPr>
          <w:color w:val="auto"/>
          <w:szCs w:val="24"/>
        </w:rPr>
        <w:t>jest zgodny z umową o dofinansowanie projektu i Wytycznymi oraz innymi procedurami,  do stosowania których beneficjent zobowiązał się w umowie o</w:t>
      </w:r>
      <w:r w:rsidR="006D5A36" w:rsidRPr="00643600">
        <w:rPr>
          <w:color w:val="auto"/>
          <w:szCs w:val="24"/>
        </w:rPr>
        <w:t> </w:t>
      </w:r>
      <w:r w:rsidRPr="00643600">
        <w:rPr>
          <w:color w:val="auto"/>
          <w:szCs w:val="24"/>
        </w:rPr>
        <w:t xml:space="preserve"> dofinansowanie projektu, </w:t>
      </w:r>
    </w:p>
    <w:p w14:paraId="65B230C9" w14:textId="77777777" w:rsidR="00B17364" w:rsidRPr="00643600" w:rsidRDefault="00B32CCF" w:rsidP="00B17364">
      <w:pPr>
        <w:pStyle w:val="Akapitzlist"/>
        <w:numPr>
          <w:ilvl w:val="0"/>
          <w:numId w:val="5"/>
        </w:numPr>
        <w:ind w:right="0"/>
        <w:rPr>
          <w:color w:val="auto"/>
          <w:szCs w:val="24"/>
        </w:rPr>
      </w:pPr>
      <w:r w:rsidRPr="00643600">
        <w:rPr>
          <w:color w:val="auto"/>
          <w:szCs w:val="24"/>
        </w:rPr>
        <w:t xml:space="preserve">został faktycznie poniesiony zgodnie z zasadą określoną w podrozdziale 3.1, Wytycznych w okresie wskazanym w umowie o dofinansowanie projektu,  </w:t>
      </w:r>
    </w:p>
    <w:p w14:paraId="6F408193" w14:textId="77777777" w:rsidR="00B17364" w:rsidRPr="00643600" w:rsidRDefault="00B32CCF" w:rsidP="00B17364">
      <w:pPr>
        <w:pStyle w:val="Akapitzlist"/>
        <w:numPr>
          <w:ilvl w:val="0"/>
          <w:numId w:val="5"/>
        </w:numPr>
        <w:ind w:right="0"/>
        <w:rPr>
          <w:color w:val="auto"/>
          <w:szCs w:val="24"/>
        </w:rPr>
      </w:pPr>
      <w:r w:rsidRPr="00643600">
        <w:rPr>
          <w:color w:val="auto"/>
          <w:szCs w:val="24"/>
        </w:rPr>
        <w:t xml:space="preserve">spełnia warunki określone w programie i SZOP oraz regulaminie wyboru projektów, </w:t>
      </w:r>
    </w:p>
    <w:p w14:paraId="1E4545E2" w14:textId="53F164D6" w:rsidR="00B17364" w:rsidRPr="00643600" w:rsidRDefault="00B32CCF" w:rsidP="00B17364">
      <w:pPr>
        <w:pStyle w:val="Akapitzlist"/>
        <w:numPr>
          <w:ilvl w:val="0"/>
          <w:numId w:val="5"/>
        </w:numPr>
        <w:ind w:right="0"/>
        <w:rPr>
          <w:color w:val="auto"/>
          <w:szCs w:val="24"/>
        </w:rPr>
      </w:pPr>
      <w:r w:rsidRPr="00643600">
        <w:rPr>
          <w:color w:val="auto"/>
          <w:szCs w:val="24"/>
        </w:rPr>
        <w:t>jest niezbędny do realizacji celów projektu i został poniesiony w związku z</w:t>
      </w:r>
      <w:r w:rsidR="006D5A36" w:rsidRPr="00643600">
        <w:rPr>
          <w:color w:val="auto"/>
          <w:szCs w:val="24"/>
        </w:rPr>
        <w:t> </w:t>
      </w:r>
      <w:r w:rsidRPr="00643600">
        <w:rPr>
          <w:color w:val="auto"/>
          <w:szCs w:val="24"/>
        </w:rPr>
        <w:t xml:space="preserve"> realizacją projektu, </w:t>
      </w:r>
    </w:p>
    <w:p w14:paraId="1AAB678C" w14:textId="77777777" w:rsidR="00B17364" w:rsidRPr="00643600" w:rsidRDefault="00B32CCF" w:rsidP="00B17364">
      <w:pPr>
        <w:pStyle w:val="Akapitzlist"/>
        <w:numPr>
          <w:ilvl w:val="0"/>
          <w:numId w:val="5"/>
        </w:numPr>
        <w:ind w:right="0"/>
        <w:rPr>
          <w:color w:val="auto"/>
          <w:szCs w:val="24"/>
        </w:rPr>
      </w:pPr>
      <w:r w:rsidRPr="00643600">
        <w:rPr>
          <w:color w:val="auto"/>
          <w:szCs w:val="24"/>
        </w:rPr>
        <w:t xml:space="preserve">został dokonany w sposób przejrzysty, racjonalny i efektywny, z zachowaniem zasad uzyskiwania najlepszych efektów z danych nakładów, </w:t>
      </w:r>
    </w:p>
    <w:p w14:paraId="58712791" w14:textId="6EB63B62" w:rsidR="00B17364" w:rsidRPr="00643600" w:rsidRDefault="00B32CCF" w:rsidP="00B17364">
      <w:pPr>
        <w:pStyle w:val="Akapitzlist"/>
        <w:numPr>
          <w:ilvl w:val="0"/>
          <w:numId w:val="5"/>
        </w:numPr>
        <w:ind w:right="0"/>
        <w:rPr>
          <w:color w:val="auto"/>
          <w:szCs w:val="24"/>
        </w:rPr>
      </w:pPr>
      <w:r w:rsidRPr="00643600">
        <w:rPr>
          <w:color w:val="auto"/>
          <w:szCs w:val="24"/>
        </w:rPr>
        <w:t>został należycie udokumentowany zgodnie z wymogami określonymi w</w:t>
      </w:r>
      <w:r w:rsidR="006D5A36" w:rsidRPr="00643600">
        <w:rPr>
          <w:color w:val="auto"/>
          <w:szCs w:val="24"/>
        </w:rPr>
        <w:t> </w:t>
      </w:r>
      <w:r w:rsidRPr="00643600">
        <w:rPr>
          <w:color w:val="auto"/>
          <w:szCs w:val="24"/>
        </w:rPr>
        <w:t xml:space="preserve"> Wytycznych oraz z zasadami określonymi przez IZ, </w:t>
      </w:r>
    </w:p>
    <w:p w14:paraId="4D052FB3" w14:textId="77777777" w:rsidR="00B17364" w:rsidRPr="00643600" w:rsidRDefault="00B32CCF" w:rsidP="00B17364">
      <w:pPr>
        <w:pStyle w:val="Akapitzlist"/>
        <w:numPr>
          <w:ilvl w:val="0"/>
          <w:numId w:val="5"/>
        </w:numPr>
        <w:ind w:right="0"/>
        <w:rPr>
          <w:color w:val="auto"/>
          <w:szCs w:val="24"/>
        </w:rPr>
      </w:pPr>
      <w:r w:rsidRPr="00643600">
        <w:rPr>
          <w:color w:val="auto"/>
          <w:szCs w:val="24"/>
        </w:rPr>
        <w:t xml:space="preserve">został rozliczony we wniosku beneficjenta o płatność, </w:t>
      </w:r>
    </w:p>
    <w:p w14:paraId="1F7980E0" w14:textId="4E87C980" w:rsidR="00C10D58" w:rsidRPr="00643600" w:rsidRDefault="00B32CCF" w:rsidP="00B17364">
      <w:pPr>
        <w:pStyle w:val="Akapitzlist"/>
        <w:numPr>
          <w:ilvl w:val="0"/>
          <w:numId w:val="5"/>
        </w:numPr>
        <w:ind w:right="0"/>
        <w:rPr>
          <w:color w:val="auto"/>
          <w:szCs w:val="24"/>
        </w:rPr>
      </w:pPr>
      <w:r w:rsidRPr="00643600">
        <w:rPr>
          <w:color w:val="auto"/>
          <w:szCs w:val="24"/>
        </w:rPr>
        <w:t>dotyczy towarów dostarczonych lub usług wykonanych lub robót budowlanych zrealizowanych</w:t>
      </w:r>
      <w:r w:rsidR="00FA7A93" w:rsidRPr="00643600">
        <w:rPr>
          <w:color w:val="auto"/>
          <w:szCs w:val="24"/>
        </w:rPr>
        <w:t>.</w:t>
      </w:r>
    </w:p>
    <w:p w14:paraId="1351D065" w14:textId="77777777" w:rsidR="00C10D58" w:rsidRPr="00643600" w:rsidRDefault="00B32CCF">
      <w:pPr>
        <w:spacing w:after="19" w:line="259" w:lineRule="auto"/>
        <w:ind w:left="0" w:right="0" w:firstLine="0"/>
        <w:jc w:val="left"/>
        <w:rPr>
          <w:color w:val="auto"/>
          <w:szCs w:val="24"/>
        </w:rPr>
      </w:pPr>
      <w:r w:rsidRPr="00643600">
        <w:rPr>
          <w:color w:val="auto"/>
          <w:szCs w:val="24"/>
        </w:rPr>
        <w:t xml:space="preserve"> </w:t>
      </w:r>
    </w:p>
    <w:p w14:paraId="44B45CF3" w14:textId="77777777" w:rsidR="00C10D58" w:rsidRPr="00643600" w:rsidRDefault="00B32CCF" w:rsidP="00EA21F7">
      <w:pPr>
        <w:spacing w:after="0" w:line="275" w:lineRule="auto"/>
        <w:ind w:left="0" w:right="1" w:firstLine="693"/>
        <w:rPr>
          <w:color w:val="auto"/>
          <w:szCs w:val="24"/>
        </w:rPr>
      </w:pPr>
      <w:r w:rsidRPr="00643600">
        <w:rPr>
          <w:color w:val="auto"/>
          <w:szCs w:val="24"/>
        </w:rPr>
        <w:t xml:space="preserve">Ponadto należy pamiętać o tym, że przyznane dofinansowanie to środki publiczne. Wobec tego </w:t>
      </w:r>
      <w:r w:rsidRPr="00643600">
        <w:rPr>
          <w:color w:val="auto"/>
          <w:szCs w:val="24"/>
          <w:u w:val="single" w:color="000000"/>
        </w:rPr>
        <w:t>Beneficjenci zobowiązani są do stosowania ustawy Prawo zamówień publicznych albo do dokonania</w:t>
      </w:r>
      <w:r w:rsidRPr="00643600">
        <w:rPr>
          <w:color w:val="auto"/>
          <w:szCs w:val="24"/>
        </w:rPr>
        <w:t xml:space="preserve"> </w:t>
      </w:r>
      <w:r w:rsidRPr="00643600">
        <w:rPr>
          <w:color w:val="auto"/>
          <w:szCs w:val="24"/>
          <w:u w:val="single" w:color="000000"/>
        </w:rPr>
        <w:t>wyboru wykonawców zgodnie z zasadą konkurencyjności.</w:t>
      </w:r>
      <w:r w:rsidRPr="00643600">
        <w:rPr>
          <w:color w:val="auto"/>
          <w:szCs w:val="24"/>
        </w:rPr>
        <w:t xml:space="preserve"> </w:t>
      </w:r>
    </w:p>
    <w:p w14:paraId="565EC133" w14:textId="6011100B" w:rsidR="00C10D58" w:rsidRPr="00643600" w:rsidRDefault="00B32CCF" w:rsidP="00EA21F7">
      <w:pPr>
        <w:ind w:left="-5" w:right="0" w:firstLine="698"/>
        <w:rPr>
          <w:color w:val="auto"/>
          <w:szCs w:val="24"/>
        </w:rPr>
      </w:pPr>
      <w:r w:rsidRPr="00643600">
        <w:rPr>
          <w:color w:val="auto"/>
          <w:szCs w:val="24"/>
        </w:rPr>
        <w:t xml:space="preserve">Co do zasady wydatkiem kwalifikowanym jest wydatek poniesiony </w:t>
      </w:r>
      <w:r w:rsidRPr="00643600">
        <w:rPr>
          <w:color w:val="auto"/>
          <w:szCs w:val="24"/>
          <w:u w:val="single" w:color="000000"/>
        </w:rPr>
        <w:t>przez Beneficjenta</w:t>
      </w:r>
      <w:r w:rsidRPr="00643600">
        <w:rPr>
          <w:color w:val="auto"/>
          <w:szCs w:val="24"/>
        </w:rPr>
        <w:t>, z którym podpisano umowę o dofinansowanie/decyzję/porozumienie. W</w:t>
      </w:r>
      <w:r w:rsidR="006D5A36" w:rsidRPr="00643600">
        <w:rPr>
          <w:color w:val="auto"/>
          <w:szCs w:val="24"/>
        </w:rPr>
        <w:t> </w:t>
      </w:r>
      <w:r w:rsidRPr="00643600">
        <w:rPr>
          <w:color w:val="auto"/>
          <w:szCs w:val="24"/>
        </w:rPr>
        <w:t xml:space="preserve"> przypadku, gdy projekt realizowany jest w partnerstwie wydatek </w:t>
      </w:r>
      <w:r w:rsidRPr="00643600">
        <w:rPr>
          <w:color w:val="auto"/>
          <w:szCs w:val="24"/>
          <w:u w:val="single" w:color="000000"/>
        </w:rPr>
        <w:t>może być poniesiony przez Partnera</w:t>
      </w:r>
      <w:r w:rsidRPr="00643600">
        <w:rPr>
          <w:color w:val="auto"/>
          <w:szCs w:val="24"/>
        </w:rPr>
        <w:t xml:space="preserve"> (jeśli tak stanowi umowa/porozumienie o partnerstwie). </w:t>
      </w:r>
    </w:p>
    <w:p w14:paraId="0C26A316" w14:textId="09A15023" w:rsidR="00C10D58" w:rsidRPr="00643600" w:rsidRDefault="00B32CCF">
      <w:pPr>
        <w:ind w:left="-15" w:right="0" w:firstLine="708"/>
        <w:rPr>
          <w:color w:val="auto"/>
          <w:szCs w:val="24"/>
        </w:rPr>
      </w:pPr>
      <w:r w:rsidRPr="00643600">
        <w:rPr>
          <w:color w:val="auto"/>
          <w:szCs w:val="24"/>
        </w:rPr>
        <w:t>Katalog wydatków kwalifikowalnych jest katalogiem zamkniętym natomiast katalog wydatków niekwalifikowalnych obejmuje pozostałe koszty poniesione w</w:t>
      </w:r>
      <w:r w:rsidR="006D5A36" w:rsidRPr="00643600">
        <w:rPr>
          <w:color w:val="auto"/>
          <w:szCs w:val="24"/>
        </w:rPr>
        <w:t> </w:t>
      </w:r>
      <w:r w:rsidRPr="00643600">
        <w:rPr>
          <w:color w:val="auto"/>
          <w:szCs w:val="24"/>
        </w:rPr>
        <w:t xml:space="preserve"> związku z realizacją przedsięwzięcia, które  nie zostały wymienione w katalogu kosztów kwalifikowalnych. </w:t>
      </w:r>
    </w:p>
    <w:p w14:paraId="414B4980" w14:textId="080AAF74" w:rsidR="00C10D58" w:rsidRDefault="00B32CCF" w:rsidP="00B17364">
      <w:pPr>
        <w:ind w:left="-15" w:right="0" w:firstLine="708"/>
        <w:rPr>
          <w:color w:val="auto"/>
          <w:szCs w:val="24"/>
        </w:rPr>
      </w:pPr>
      <w:r w:rsidRPr="00643600">
        <w:rPr>
          <w:color w:val="auto"/>
          <w:szCs w:val="24"/>
        </w:rPr>
        <w:t xml:space="preserve">Niniejszy załącznik do Regulaminu </w:t>
      </w:r>
      <w:r w:rsidR="00DF4FE2" w:rsidRPr="00643600">
        <w:rPr>
          <w:color w:val="auto"/>
          <w:szCs w:val="24"/>
        </w:rPr>
        <w:t>wyboru projektów</w:t>
      </w:r>
      <w:r w:rsidRPr="00643600">
        <w:rPr>
          <w:color w:val="auto"/>
          <w:szCs w:val="24"/>
        </w:rPr>
        <w:t xml:space="preserve"> określa katalog wydatków kwalifikowalnych  w projektach realizowanych w ramach Priorytet FELB.02 Fundusze europejskie na zielony rozwój lubuskiego Działanie FELB.02.0</w:t>
      </w:r>
      <w:r w:rsidR="00F82AC2">
        <w:rPr>
          <w:color w:val="auto"/>
          <w:szCs w:val="24"/>
        </w:rPr>
        <w:t>6</w:t>
      </w:r>
      <w:r w:rsidRPr="00643600">
        <w:rPr>
          <w:color w:val="auto"/>
          <w:szCs w:val="24"/>
        </w:rPr>
        <w:t xml:space="preserve"> </w:t>
      </w:r>
      <w:r w:rsidR="00F82AC2">
        <w:rPr>
          <w:color w:val="auto"/>
          <w:szCs w:val="24"/>
        </w:rPr>
        <w:t xml:space="preserve">Adaptacja do zmian klimatu, Typ operacji: </w:t>
      </w:r>
      <w:r w:rsidR="00F82AC2" w:rsidRPr="00F82AC2">
        <w:rPr>
          <w:color w:val="auto"/>
          <w:szCs w:val="24"/>
        </w:rPr>
        <w:t>Adaptacja terenów zurbanizowanych do zmian klimatu. Wdrażanie działań dla miast innych niż wspieranych na poziomie krajowym. Projekty polegające m. in. na gospodarowaniu wodami opadowymi, rozwoju zielonej i błękitnej infrastruktury obszarów zurbanizowanych.</w:t>
      </w:r>
    </w:p>
    <w:p w14:paraId="129A03F8" w14:textId="77777777" w:rsidR="00643600" w:rsidRDefault="00643600" w:rsidP="00B17364">
      <w:pPr>
        <w:ind w:left="-15" w:right="0" w:firstLine="708"/>
        <w:rPr>
          <w:color w:val="auto"/>
          <w:szCs w:val="24"/>
        </w:rPr>
      </w:pPr>
    </w:p>
    <w:p w14:paraId="251C1C52" w14:textId="133DD11D" w:rsidR="00B17364" w:rsidRPr="00643600" w:rsidRDefault="00B17364" w:rsidP="00F131DE">
      <w:pPr>
        <w:spacing w:after="55" w:line="259" w:lineRule="auto"/>
        <w:ind w:left="0" w:right="0" w:firstLine="0"/>
        <w:jc w:val="left"/>
        <w:rPr>
          <w:color w:val="FF0000"/>
          <w:szCs w:val="24"/>
        </w:rPr>
      </w:pPr>
    </w:p>
    <w:p w14:paraId="067DF953" w14:textId="77777777" w:rsidR="00C10D58" w:rsidRPr="00643600" w:rsidRDefault="00B32CCF">
      <w:pPr>
        <w:pStyle w:val="Nagwek1"/>
        <w:ind w:left="177" w:hanging="192"/>
        <w:rPr>
          <w:color w:val="auto"/>
          <w:sz w:val="24"/>
          <w:szCs w:val="24"/>
        </w:rPr>
      </w:pPr>
      <w:r w:rsidRPr="00643600">
        <w:rPr>
          <w:color w:val="auto"/>
          <w:sz w:val="24"/>
          <w:szCs w:val="24"/>
        </w:rPr>
        <w:lastRenderedPageBreak/>
        <w:t>Wydatki kwalifikowalne</w:t>
      </w:r>
      <w:r w:rsidRPr="00643600">
        <w:rPr>
          <w:b w:val="0"/>
          <w:color w:val="auto"/>
          <w:sz w:val="24"/>
          <w:szCs w:val="24"/>
          <w:u w:val="none"/>
        </w:rPr>
        <w:t xml:space="preserve"> </w:t>
      </w:r>
    </w:p>
    <w:p w14:paraId="4042B731" w14:textId="77777777" w:rsidR="00B2782D" w:rsidRPr="00643600" w:rsidRDefault="00B2782D" w:rsidP="005666D5">
      <w:pPr>
        <w:ind w:left="-5" w:right="0"/>
        <w:rPr>
          <w:color w:val="auto"/>
          <w:szCs w:val="24"/>
        </w:rPr>
      </w:pPr>
    </w:p>
    <w:p w14:paraId="44D6F341" w14:textId="3DBE118C" w:rsidR="000303C9" w:rsidRPr="00962359" w:rsidRDefault="00F82AC2" w:rsidP="00227A1F">
      <w:pPr>
        <w:spacing w:after="120" w:line="269" w:lineRule="auto"/>
        <w:ind w:left="-6" w:right="0" w:hanging="11"/>
        <w:rPr>
          <w:color w:val="auto"/>
          <w:szCs w:val="24"/>
        </w:rPr>
      </w:pPr>
      <w:r w:rsidRPr="00962359">
        <w:rPr>
          <w:color w:val="auto"/>
          <w:szCs w:val="24"/>
        </w:rPr>
        <w:t>W ramach działania wsparcie otrzymają przedsięwzięcia z zakresu adaptacji do skutków zmian klimatycznych miast. Działania ukierunkowane będą na zarządzanie wodami opadowymi/roztopowymi na obszarach zurbanizowanych poprzez różne formy retencji i rozwój infrastruktury zieleni, rozwój zielonej i błękitnej infrastruktury obszarów zurbanizowanych, ograniczenie zajmowania gruntów oraz zasklepiania gleby.</w:t>
      </w:r>
    </w:p>
    <w:p w14:paraId="69878DFE" w14:textId="3FB3F244" w:rsidR="000303C9" w:rsidRPr="00962359" w:rsidRDefault="000303C9" w:rsidP="00227A1F">
      <w:pPr>
        <w:spacing w:after="120" w:line="269" w:lineRule="auto"/>
        <w:ind w:left="-6" w:right="0" w:hanging="11"/>
        <w:rPr>
          <w:color w:val="auto"/>
          <w:szCs w:val="24"/>
        </w:rPr>
      </w:pPr>
      <w:r w:rsidRPr="00962359">
        <w:rPr>
          <w:color w:val="auto"/>
          <w:szCs w:val="24"/>
        </w:rPr>
        <w:t>Przystosowanie terenu objętego realizacją projektu, społeczeństwa, gospodarki, a także środowiska przyrodniczego, do negatywnych skutków spowodowanych zmianą klimatu, poprzez skuteczne zarządzanie w sytuacjach wystąpienia ekstremów pogodowych oraz możliwie jak najszybszej naprawy zaistniałych szkód.</w:t>
      </w:r>
    </w:p>
    <w:p w14:paraId="02E246AD" w14:textId="7561F357" w:rsidR="00227A1F" w:rsidRDefault="00F82AC2" w:rsidP="00227A1F">
      <w:pPr>
        <w:spacing w:after="120" w:line="269" w:lineRule="auto"/>
        <w:ind w:left="-6" w:right="0" w:hanging="11"/>
        <w:rPr>
          <w:color w:val="auto"/>
          <w:szCs w:val="24"/>
        </w:rPr>
      </w:pPr>
      <w:r w:rsidRPr="00962359">
        <w:rPr>
          <w:color w:val="auto"/>
          <w:szCs w:val="24"/>
        </w:rPr>
        <w:t>Zgodnie z zapisami Linii Demarkacyjnej, wsparcie będzie możliwe dla miast poniżej 20 tys. mieszkańców nie posiadających Miejskich Planów Adaptacji (w przypadku stolic powiatów - do 15 tys. mieszkańców), w  tym miasta nie posiadające Miejskich Planów Adaptacji.</w:t>
      </w:r>
    </w:p>
    <w:p w14:paraId="598F66CD" w14:textId="49C14C3D" w:rsidR="000303C9" w:rsidRPr="00962359" w:rsidRDefault="00227A1F" w:rsidP="00227A1F">
      <w:pPr>
        <w:spacing w:after="120" w:line="269" w:lineRule="auto"/>
        <w:ind w:left="-6" w:right="0" w:hanging="11"/>
        <w:rPr>
          <w:color w:val="auto"/>
          <w:szCs w:val="24"/>
        </w:rPr>
      </w:pPr>
      <w:r w:rsidRPr="00227A1F">
        <w:rPr>
          <w:color w:val="auto"/>
          <w:szCs w:val="24"/>
        </w:rPr>
        <w:t>Wspierane inwestycje, nie mogą powodować nieosiągnięcia dobrego stanu lub potencjału jednolitych części wód, nie mogą też pogarszać stanu lub potencjału jednolitych części wód oraz nie mogą mieć znaczącego wpływu na cele ochrony obszarów objętych siecią Natura 2000.</w:t>
      </w:r>
    </w:p>
    <w:p w14:paraId="36D51F82" w14:textId="2E54E84D" w:rsidR="000303C9" w:rsidRDefault="00F82AC2" w:rsidP="00CF6757">
      <w:pPr>
        <w:spacing w:after="120" w:line="269" w:lineRule="auto"/>
        <w:ind w:left="-6" w:right="0" w:hanging="11"/>
        <w:rPr>
          <w:color w:val="auto"/>
          <w:szCs w:val="24"/>
        </w:rPr>
      </w:pPr>
      <w:r w:rsidRPr="00962359">
        <w:rPr>
          <w:color w:val="auto"/>
          <w:szCs w:val="24"/>
        </w:rPr>
        <w:t>Jako element uzupełniający będzie możliwość realizacji elementów edukacji w obszarze zmian klimatycznych oraz ochrony zasobów wodnych.</w:t>
      </w:r>
    </w:p>
    <w:p w14:paraId="597E1D33" w14:textId="77777777" w:rsidR="00DE4922" w:rsidRPr="00643600" w:rsidRDefault="00DE4922" w:rsidP="005666D5">
      <w:pPr>
        <w:ind w:left="-5" w:right="0"/>
        <w:rPr>
          <w:color w:val="auto"/>
          <w:szCs w:val="24"/>
        </w:rPr>
      </w:pPr>
    </w:p>
    <w:p w14:paraId="37224C27" w14:textId="7119C2E3" w:rsidR="005666D5" w:rsidRPr="00643600" w:rsidRDefault="00DE4922" w:rsidP="00643600">
      <w:pPr>
        <w:ind w:left="-5" w:right="0"/>
        <w:rPr>
          <w:color w:val="auto"/>
          <w:szCs w:val="24"/>
        </w:rPr>
      </w:pPr>
      <w:r w:rsidRPr="00643600">
        <w:rPr>
          <w:color w:val="auto"/>
          <w:szCs w:val="24"/>
        </w:rPr>
        <w:t>Do wydatków kwalifikowalnych, mogą zostać zaliczone następujące wydatki:</w:t>
      </w:r>
    </w:p>
    <w:p w14:paraId="5456BD65" w14:textId="77777777" w:rsidR="000303C9" w:rsidRDefault="000303C9" w:rsidP="00220852">
      <w:pPr>
        <w:pStyle w:val="Akapitzlist"/>
        <w:numPr>
          <w:ilvl w:val="0"/>
          <w:numId w:val="8"/>
        </w:numPr>
        <w:ind w:left="284" w:right="0"/>
        <w:rPr>
          <w:color w:val="auto"/>
          <w:szCs w:val="24"/>
        </w:rPr>
      </w:pPr>
      <w:r w:rsidRPr="000303C9">
        <w:rPr>
          <w:color w:val="auto"/>
          <w:szCs w:val="24"/>
        </w:rPr>
        <w:t xml:space="preserve">zazielenienia zbiorników wodnych lub ich </w:t>
      </w:r>
      <w:proofErr w:type="spellStart"/>
      <w:r w:rsidRPr="000303C9">
        <w:rPr>
          <w:color w:val="auto"/>
          <w:szCs w:val="24"/>
        </w:rPr>
        <w:t>renaturyzacji</w:t>
      </w:r>
      <w:proofErr w:type="spellEnd"/>
      <w:r w:rsidRPr="000303C9">
        <w:rPr>
          <w:color w:val="auto"/>
          <w:szCs w:val="24"/>
        </w:rPr>
        <w:t xml:space="preserve"> w lokalnych zlewniach;</w:t>
      </w:r>
    </w:p>
    <w:p w14:paraId="55BDDBFE" w14:textId="77777777" w:rsidR="000303C9" w:rsidRDefault="000303C9" w:rsidP="00220852">
      <w:pPr>
        <w:pStyle w:val="Akapitzlist"/>
        <w:numPr>
          <w:ilvl w:val="0"/>
          <w:numId w:val="8"/>
        </w:numPr>
        <w:ind w:left="284" w:right="0"/>
        <w:rPr>
          <w:color w:val="auto"/>
          <w:szCs w:val="24"/>
        </w:rPr>
      </w:pPr>
      <w:r w:rsidRPr="000303C9">
        <w:rPr>
          <w:color w:val="auto"/>
          <w:szCs w:val="24"/>
        </w:rPr>
        <w:t>budowa, rozbudowa lub remont zbiorników wód opadowych wraz z infrastrukturą towarzyszącą</w:t>
      </w:r>
      <w:r>
        <w:rPr>
          <w:color w:val="auto"/>
          <w:szCs w:val="24"/>
        </w:rPr>
        <w:t xml:space="preserve"> </w:t>
      </w:r>
      <w:r w:rsidRPr="000303C9">
        <w:rPr>
          <w:color w:val="auto"/>
          <w:szCs w:val="24"/>
        </w:rPr>
        <w:t>(w tym m.in. urządzenia podczyszczające i instalacje rozprowadzania zebranej wody);</w:t>
      </w:r>
    </w:p>
    <w:p w14:paraId="73DCCFF3" w14:textId="77777777" w:rsidR="000303C9" w:rsidRDefault="000303C9" w:rsidP="00220852">
      <w:pPr>
        <w:pStyle w:val="Akapitzlist"/>
        <w:numPr>
          <w:ilvl w:val="0"/>
          <w:numId w:val="8"/>
        </w:numPr>
        <w:ind w:left="284" w:right="0"/>
        <w:rPr>
          <w:color w:val="auto"/>
          <w:szCs w:val="24"/>
        </w:rPr>
      </w:pPr>
      <w:r w:rsidRPr="000303C9">
        <w:rPr>
          <w:color w:val="auto"/>
          <w:szCs w:val="24"/>
        </w:rPr>
        <w:t>likwidacja zasklepienia lub uszczelnienia gruntu poprzez stosowanie wzmocnień</w:t>
      </w:r>
      <w:r>
        <w:rPr>
          <w:color w:val="auto"/>
          <w:szCs w:val="24"/>
        </w:rPr>
        <w:t xml:space="preserve"> </w:t>
      </w:r>
      <w:r w:rsidRPr="000303C9">
        <w:rPr>
          <w:color w:val="auto"/>
          <w:szCs w:val="24"/>
        </w:rPr>
        <w:t>przepuszczalnych dla wody np.: ażurowych lub żwirowych, jak również poprzez stosowanie rozwiązań</w:t>
      </w:r>
      <w:r>
        <w:rPr>
          <w:color w:val="auto"/>
          <w:szCs w:val="24"/>
        </w:rPr>
        <w:t xml:space="preserve"> </w:t>
      </w:r>
      <w:r w:rsidRPr="000303C9">
        <w:rPr>
          <w:color w:val="auto"/>
          <w:szCs w:val="24"/>
        </w:rPr>
        <w:t>opartych na przyrodzie, w tym zakładających przywrócenie do stanu pierwotnego;</w:t>
      </w:r>
    </w:p>
    <w:p w14:paraId="3EFDECE7" w14:textId="77777777" w:rsidR="000303C9" w:rsidRDefault="000303C9" w:rsidP="00220852">
      <w:pPr>
        <w:pStyle w:val="Akapitzlist"/>
        <w:numPr>
          <w:ilvl w:val="0"/>
          <w:numId w:val="8"/>
        </w:numPr>
        <w:ind w:left="284" w:right="0"/>
        <w:rPr>
          <w:color w:val="auto"/>
          <w:szCs w:val="24"/>
        </w:rPr>
      </w:pPr>
      <w:r w:rsidRPr="000303C9">
        <w:rPr>
          <w:color w:val="auto"/>
          <w:szCs w:val="24"/>
        </w:rPr>
        <w:t>tworzenie ogrodów deszczowych, stawów, niecek (zagłębienia terenu), nawierzchni</w:t>
      </w:r>
      <w:r>
        <w:rPr>
          <w:color w:val="auto"/>
          <w:szCs w:val="24"/>
        </w:rPr>
        <w:t xml:space="preserve"> </w:t>
      </w:r>
      <w:r w:rsidRPr="000303C9">
        <w:rPr>
          <w:color w:val="auto"/>
          <w:szCs w:val="24"/>
        </w:rPr>
        <w:t>przepuszczalnych, zielone dachy, mokradła;</w:t>
      </w:r>
    </w:p>
    <w:p w14:paraId="237C1DB7" w14:textId="77777777" w:rsidR="000303C9" w:rsidRDefault="000303C9" w:rsidP="00220852">
      <w:pPr>
        <w:pStyle w:val="Akapitzlist"/>
        <w:numPr>
          <w:ilvl w:val="0"/>
          <w:numId w:val="8"/>
        </w:numPr>
        <w:ind w:left="284" w:right="0"/>
        <w:rPr>
          <w:color w:val="auto"/>
          <w:szCs w:val="24"/>
        </w:rPr>
      </w:pPr>
      <w:r w:rsidRPr="000303C9">
        <w:rPr>
          <w:color w:val="auto"/>
          <w:szCs w:val="24"/>
        </w:rPr>
        <w:t>projekty dotyczące gospodarowania i zarządzania wodą przeznaczoną do spożycia (z wyjątkiem</w:t>
      </w:r>
      <w:r>
        <w:rPr>
          <w:color w:val="auto"/>
          <w:szCs w:val="24"/>
        </w:rPr>
        <w:t xml:space="preserve"> </w:t>
      </w:r>
      <w:r w:rsidRPr="000303C9">
        <w:rPr>
          <w:color w:val="auto"/>
          <w:szCs w:val="24"/>
        </w:rPr>
        <w:t>uzdatniania i dystrybucji wody), w zakresie, w jakim wynika to z konieczności dostosowania do</w:t>
      </w:r>
      <w:r>
        <w:rPr>
          <w:color w:val="auto"/>
          <w:szCs w:val="24"/>
        </w:rPr>
        <w:t xml:space="preserve"> </w:t>
      </w:r>
      <w:r w:rsidRPr="000303C9">
        <w:rPr>
          <w:color w:val="auto"/>
          <w:szCs w:val="24"/>
        </w:rPr>
        <w:t>ekstremalnych zjawisk pogodowych;</w:t>
      </w:r>
    </w:p>
    <w:p w14:paraId="31ECA718" w14:textId="77777777" w:rsidR="000303C9" w:rsidRDefault="000303C9" w:rsidP="00220852">
      <w:pPr>
        <w:pStyle w:val="Akapitzlist"/>
        <w:numPr>
          <w:ilvl w:val="0"/>
          <w:numId w:val="8"/>
        </w:numPr>
        <w:ind w:left="284" w:right="0"/>
        <w:rPr>
          <w:color w:val="auto"/>
          <w:szCs w:val="24"/>
        </w:rPr>
      </w:pPr>
      <w:r w:rsidRPr="000303C9">
        <w:rPr>
          <w:color w:val="auto"/>
          <w:szCs w:val="24"/>
        </w:rPr>
        <w:t>tworzenie korytarzy ekologicznych wentylacyjnych (przewietrzających);</w:t>
      </w:r>
    </w:p>
    <w:p w14:paraId="223735DD" w14:textId="66D253D4" w:rsidR="00C94CF1" w:rsidRPr="000303C9" w:rsidRDefault="000303C9" w:rsidP="00220852">
      <w:pPr>
        <w:pStyle w:val="Akapitzlist"/>
        <w:numPr>
          <w:ilvl w:val="0"/>
          <w:numId w:val="8"/>
        </w:numPr>
        <w:ind w:left="284" w:right="0"/>
        <w:rPr>
          <w:color w:val="auto"/>
          <w:szCs w:val="24"/>
        </w:rPr>
      </w:pPr>
      <w:r w:rsidRPr="000303C9">
        <w:rPr>
          <w:color w:val="auto"/>
          <w:szCs w:val="24"/>
        </w:rPr>
        <w:t>projekty obejmujące rozszczelnienie powierzchni nieprzepuszczalnych (usuwanie betonowych,</w:t>
      </w:r>
      <w:r>
        <w:rPr>
          <w:color w:val="auto"/>
          <w:szCs w:val="24"/>
        </w:rPr>
        <w:t xml:space="preserve"> </w:t>
      </w:r>
      <w:r w:rsidRPr="000303C9">
        <w:rPr>
          <w:color w:val="auto"/>
          <w:szCs w:val="24"/>
        </w:rPr>
        <w:t xml:space="preserve">asfaltowych i innych powierzchniowych uszczelnień gruntu, a także </w:t>
      </w:r>
      <w:r w:rsidRPr="000303C9">
        <w:rPr>
          <w:color w:val="auto"/>
          <w:szCs w:val="24"/>
        </w:rPr>
        <w:lastRenderedPageBreak/>
        <w:t>wymiana gruntów, które stały się</w:t>
      </w:r>
      <w:r>
        <w:rPr>
          <w:color w:val="auto"/>
          <w:szCs w:val="24"/>
        </w:rPr>
        <w:t xml:space="preserve"> </w:t>
      </w:r>
      <w:r w:rsidRPr="000303C9">
        <w:rPr>
          <w:color w:val="auto"/>
          <w:szCs w:val="24"/>
        </w:rPr>
        <w:t>nieprzepuszczalne w wyniku chemicznego zasklepienia oraz wymiana lub spulchnienie gruntów</w:t>
      </w:r>
      <w:r>
        <w:rPr>
          <w:color w:val="auto"/>
          <w:szCs w:val="24"/>
        </w:rPr>
        <w:t xml:space="preserve"> </w:t>
      </w:r>
      <w:r w:rsidRPr="000303C9">
        <w:rPr>
          <w:color w:val="auto"/>
          <w:szCs w:val="24"/>
        </w:rPr>
        <w:t>zagęszczonych) i przywrócenie na tych powierzchniach wegetacji na gruncie rodzimym.</w:t>
      </w:r>
    </w:p>
    <w:p w14:paraId="14333B2E" w14:textId="43BF219F" w:rsidR="000303C9" w:rsidRPr="000303C9" w:rsidRDefault="000303C9" w:rsidP="00220852">
      <w:pPr>
        <w:pStyle w:val="Akapitzlist"/>
        <w:numPr>
          <w:ilvl w:val="0"/>
          <w:numId w:val="8"/>
        </w:numPr>
        <w:ind w:left="284" w:right="0"/>
        <w:rPr>
          <w:color w:val="auto"/>
          <w:szCs w:val="24"/>
        </w:rPr>
      </w:pPr>
      <w:r w:rsidRPr="000303C9">
        <w:rPr>
          <w:color w:val="auto"/>
          <w:szCs w:val="24"/>
        </w:rPr>
        <w:t>Budowa lub zakup urządzeń wodnych uzupełniających sieć kanalizacyjną pozwalających na</w:t>
      </w:r>
      <w:r>
        <w:rPr>
          <w:color w:val="auto"/>
          <w:szCs w:val="24"/>
        </w:rPr>
        <w:t xml:space="preserve"> </w:t>
      </w:r>
      <w:r w:rsidRPr="000303C9">
        <w:rPr>
          <w:color w:val="auto"/>
          <w:szCs w:val="24"/>
        </w:rPr>
        <w:t>zatrzymanie wody w miejscu opadu (w tym zazielenienie obszaru objętego realizacją projektu), które</w:t>
      </w:r>
      <w:r>
        <w:rPr>
          <w:color w:val="auto"/>
          <w:szCs w:val="24"/>
        </w:rPr>
        <w:t xml:space="preserve"> </w:t>
      </w:r>
      <w:r w:rsidRPr="000303C9">
        <w:rPr>
          <w:color w:val="auto"/>
          <w:szCs w:val="24"/>
        </w:rPr>
        <w:t>przyczyniają się do odprowadzania, zatrzymania, retencjonowania, wykorzystania wód opadowych/i lub</w:t>
      </w:r>
      <w:r>
        <w:rPr>
          <w:color w:val="auto"/>
          <w:szCs w:val="24"/>
        </w:rPr>
        <w:t xml:space="preserve"> </w:t>
      </w:r>
      <w:r w:rsidRPr="000303C9">
        <w:rPr>
          <w:color w:val="auto"/>
          <w:szCs w:val="24"/>
        </w:rPr>
        <w:t>oczyszczania (w razie potrzeby) wód opadowych, przy czym dla tej infrastruktury preferowane będzie</w:t>
      </w:r>
      <w:r>
        <w:rPr>
          <w:color w:val="auto"/>
          <w:szCs w:val="24"/>
        </w:rPr>
        <w:t xml:space="preserve"> </w:t>
      </w:r>
      <w:r w:rsidRPr="000303C9">
        <w:rPr>
          <w:color w:val="auto"/>
          <w:szCs w:val="24"/>
        </w:rPr>
        <w:t>użycie metod naturalnych lub bazujących na rozwiązaniach opartych na przyrodzie, w tym wiążących się</w:t>
      </w:r>
      <w:r>
        <w:rPr>
          <w:color w:val="auto"/>
          <w:szCs w:val="24"/>
        </w:rPr>
        <w:t xml:space="preserve"> </w:t>
      </w:r>
      <w:r w:rsidRPr="000303C9">
        <w:rPr>
          <w:color w:val="auto"/>
          <w:szCs w:val="24"/>
        </w:rPr>
        <w:t>z zasilaniem wód gruntowych i podziemnych oraz rozwojem zieleni. Wspierane będą działania bazujące</w:t>
      </w:r>
      <w:r>
        <w:rPr>
          <w:color w:val="auto"/>
          <w:szCs w:val="24"/>
        </w:rPr>
        <w:t xml:space="preserve"> </w:t>
      </w:r>
      <w:r w:rsidRPr="000303C9">
        <w:rPr>
          <w:color w:val="auto"/>
          <w:szCs w:val="24"/>
        </w:rPr>
        <w:t>na wykorzystaniu naturalnej zdolności retencji, samooczyszczania oraz odprowadzania wód opadowych z</w:t>
      </w:r>
      <w:r>
        <w:rPr>
          <w:color w:val="auto"/>
          <w:szCs w:val="24"/>
        </w:rPr>
        <w:t xml:space="preserve"> </w:t>
      </w:r>
      <w:r w:rsidRPr="000303C9">
        <w:rPr>
          <w:color w:val="auto"/>
          <w:szCs w:val="24"/>
        </w:rPr>
        <w:t>danego terenu np. rowy odwadniające, muldy, zbiorniki odparowujące, obsadzone roślinnością stawy</w:t>
      </w:r>
      <w:r>
        <w:rPr>
          <w:color w:val="auto"/>
          <w:szCs w:val="24"/>
        </w:rPr>
        <w:t xml:space="preserve"> </w:t>
      </w:r>
      <w:r w:rsidRPr="000303C9">
        <w:rPr>
          <w:color w:val="auto"/>
          <w:szCs w:val="24"/>
        </w:rPr>
        <w:t xml:space="preserve">sedymentacyjne, obiekty hydrofitowe oczyszczania wód opadowych, ogrody deszczowe, </w:t>
      </w:r>
      <w:proofErr w:type="spellStart"/>
      <w:r w:rsidRPr="000303C9">
        <w:rPr>
          <w:color w:val="auto"/>
          <w:szCs w:val="24"/>
        </w:rPr>
        <w:t>mikromokradła</w:t>
      </w:r>
      <w:proofErr w:type="spellEnd"/>
      <w:r w:rsidRPr="000303C9">
        <w:rPr>
          <w:color w:val="auto"/>
          <w:szCs w:val="24"/>
        </w:rPr>
        <w:t>,</w:t>
      </w:r>
      <w:r>
        <w:rPr>
          <w:color w:val="auto"/>
          <w:szCs w:val="24"/>
        </w:rPr>
        <w:t xml:space="preserve"> </w:t>
      </w:r>
      <w:r w:rsidRPr="000303C9">
        <w:rPr>
          <w:color w:val="auto"/>
          <w:szCs w:val="24"/>
        </w:rPr>
        <w:t xml:space="preserve">niecki </w:t>
      </w:r>
      <w:proofErr w:type="spellStart"/>
      <w:r w:rsidRPr="000303C9">
        <w:rPr>
          <w:color w:val="auto"/>
          <w:szCs w:val="24"/>
        </w:rPr>
        <w:t>bioretencyjne</w:t>
      </w:r>
      <w:proofErr w:type="spellEnd"/>
      <w:r w:rsidRPr="000303C9">
        <w:rPr>
          <w:color w:val="auto"/>
          <w:szCs w:val="24"/>
        </w:rPr>
        <w:t xml:space="preserve"> i infiltracyjne.</w:t>
      </w:r>
    </w:p>
    <w:p w14:paraId="68792A32" w14:textId="02CE8B69" w:rsidR="00F82AC2" w:rsidRPr="001F3E94" w:rsidRDefault="000303C9" w:rsidP="00220852">
      <w:pPr>
        <w:pStyle w:val="Akapitzlist"/>
        <w:numPr>
          <w:ilvl w:val="0"/>
          <w:numId w:val="8"/>
        </w:numPr>
        <w:ind w:left="284" w:right="0"/>
        <w:rPr>
          <w:color w:val="auto"/>
          <w:szCs w:val="24"/>
        </w:rPr>
      </w:pPr>
      <w:r w:rsidRPr="000303C9">
        <w:rPr>
          <w:color w:val="auto"/>
          <w:szCs w:val="24"/>
        </w:rPr>
        <w:t>Projekty dotyczące rozbudowy kanalizacji deszczowej mogą uzyskać wsparcie, jeśli wynikają z planów</w:t>
      </w:r>
      <w:r>
        <w:rPr>
          <w:color w:val="auto"/>
          <w:szCs w:val="24"/>
        </w:rPr>
        <w:t xml:space="preserve"> </w:t>
      </w:r>
      <w:r w:rsidRPr="000303C9">
        <w:rPr>
          <w:color w:val="auto"/>
          <w:szCs w:val="24"/>
        </w:rPr>
        <w:t>adaptacji miast do zmian klimatu (w przypadku miast powyżej 20 tys. mieszkańców.) lub są uzasadnione</w:t>
      </w:r>
      <w:r>
        <w:rPr>
          <w:color w:val="auto"/>
          <w:szCs w:val="24"/>
        </w:rPr>
        <w:t xml:space="preserve"> </w:t>
      </w:r>
      <w:r w:rsidRPr="000303C9">
        <w:rPr>
          <w:color w:val="auto"/>
          <w:szCs w:val="24"/>
        </w:rPr>
        <w:t>zagrożeniem powodziowym (dla miast poniżej 20 tys. mieszkańców). Projekty w miastach, które nie</w:t>
      </w:r>
      <w:r>
        <w:rPr>
          <w:color w:val="auto"/>
          <w:szCs w:val="24"/>
        </w:rPr>
        <w:t xml:space="preserve"> </w:t>
      </w:r>
      <w:r w:rsidRPr="000303C9">
        <w:rPr>
          <w:color w:val="auto"/>
          <w:szCs w:val="24"/>
        </w:rPr>
        <w:t>posiadają planów adaptacji do zmian klimatu będą realizowane w sposób zintegrowany (integrujące</w:t>
      </w:r>
      <w:r>
        <w:rPr>
          <w:color w:val="auto"/>
          <w:szCs w:val="24"/>
        </w:rPr>
        <w:t xml:space="preserve"> </w:t>
      </w:r>
      <w:r w:rsidRPr="000303C9">
        <w:rPr>
          <w:color w:val="auto"/>
          <w:szCs w:val="24"/>
        </w:rPr>
        <w:t>działania takie jak: zielono-niebieska infrastruktura, zarządzanie i retencja wodami opadowymi na</w:t>
      </w:r>
      <w:r>
        <w:rPr>
          <w:color w:val="auto"/>
          <w:szCs w:val="24"/>
        </w:rPr>
        <w:t xml:space="preserve"> </w:t>
      </w:r>
      <w:r w:rsidRPr="000303C9">
        <w:rPr>
          <w:color w:val="auto"/>
          <w:szCs w:val="24"/>
        </w:rPr>
        <w:t xml:space="preserve">miejscu, m.in. rozwiązania oparte na </w:t>
      </w:r>
      <w:proofErr w:type="spellStart"/>
      <w:r w:rsidRPr="000303C9">
        <w:rPr>
          <w:color w:val="auto"/>
          <w:szCs w:val="24"/>
        </w:rPr>
        <w:t>mikroretencjach</w:t>
      </w:r>
      <w:proofErr w:type="spellEnd"/>
      <w:r w:rsidRPr="000303C9">
        <w:rPr>
          <w:color w:val="auto"/>
          <w:szCs w:val="24"/>
        </w:rPr>
        <w:t>, odseparowanie gruntu w miejscach publicznych</w:t>
      </w:r>
      <w:r>
        <w:rPr>
          <w:color w:val="auto"/>
          <w:szCs w:val="24"/>
        </w:rPr>
        <w:t xml:space="preserve"> </w:t>
      </w:r>
      <w:r w:rsidRPr="000303C9">
        <w:rPr>
          <w:color w:val="auto"/>
          <w:szCs w:val="24"/>
        </w:rPr>
        <w:t>itp.).</w:t>
      </w:r>
    </w:p>
    <w:p w14:paraId="5FB40687" w14:textId="7594CC93" w:rsidR="00F82AC2" w:rsidRPr="00FE0225" w:rsidRDefault="00F82AC2" w:rsidP="00220852">
      <w:pPr>
        <w:pStyle w:val="Akapitzlist"/>
        <w:numPr>
          <w:ilvl w:val="0"/>
          <w:numId w:val="8"/>
        </w:numPr>
        <w:ind w:left="284" w:right="0"/>
        <w:rPr>
          <w:color w:val="auto"/>
          <w:szCs w:val="24"/>
        </w:rPr>
      </w:pPr>
      <w:r w:rsidRPr="00F82AC2">
        <w:rPr>
          <w:color w:val="auto"/>
          <w:szCs w:val="24"/>
        </w:rPr>
        <w:t xml:space="preserve">Wydatki na działania informacyjno-promocyjne bezpośrednio związane z  realizacją  i promocją </w:t>
      </w:r>
      <w:r w:rsidRPr="00FE0225">
        <w:rPr>
          <w:color w:val="auto"/>
          <w:szCs w:val="24"/>
        </w:rPr>
        <w:t>projektu  maksymalnie 30 tys. PLN całkowitych wydatków kwalifikowalnych projektu. (tablice, naklejki, strona internetowa, ogłoszenie w prasie itp.);</w:t>
      </w:r>
    </w:p>
    <w:p w14:paraId="73CAC780" w14:textId="28DE2834" w:rsidR="00F82AC2" w:rsidRPr="00F82AC2" w:rsidRDefault="00F82AC2" w:rsidP="00220852">
      <w:pPr>
        <w:pStyle w:val="Akapitzlist"/>
        <w:numPr>
          <w:ilvl w:val="0"/>
          <w:numId w:val="8"/>
        </w:numPr>
        <w:ind w:left="284" w:right="0"/>
        <w:rPr>
          <w:color w:val="auto"/>
          <w:szCs w:val="24"/>
        </w:rPr>
      </w:pPr>
      <w:r w:rsidRPr="00FE0225">
        <w:rPr>
          <w:color w:val="auto"/>
          <w:szCs w:val="24"/>
        </w:rPr>
        <w:t>Wydatki na działania informacyjno-edukacyjne w zakresie wiedzy o zmianach klimatu i ochrony zasobów wodnych, maksymalnie 30 tys. PLN</w:t>
      </w:r>
      <w:r w:rsidRPr="00F82AC2">
        <w:rPr>
          <w:color w:val="auto"/>
          <w:szCs w:val="24"/>
        </w:rPr>
        <w:t xml:space="preserve"> całkowitych wydatków kwalifikowalnych projektu. (spotkania z lokalną społecznością, materiały w wersji elektronicznej, strona internetowa, w tym materiały do pobrania oraz publikacje on-line itd., artykuł w prasie lokalnej lub/i audycja w lokalnym radiu lub/i reklama w lokalnej telewizji, kampanie w szkołach, przedszkolach)</w:t>
      </w:r>
      <w:r w:rsidR="001F3E94">
        <w:rPr>
          <w:color w:val="auto"/>
          <w:szCs w:val="24"/>
        </w:rPr>
        <w:t>;</w:t>
      </w:r>
    </w:p>
    <w:p w14:paraId="4D667E84" w14:textId="2274BEDC" w:rsidR="00982EC1" w:rsidRPr="00643600" w:rsidRDefault="00406CB2" w:rsidP="00220852">
      <w:pPr>
        <w:pStyle w:val="Akapitzlist"/>
        <w:numPr>
          <w:ilvl w:val="0"/>
          <w:numId w:val="8"/>
        </w:numPr>
        <w:ind w:left="284" w:right="0"/>
        <w:rPr>
          <w:color w:val="auto"/>
          <w:szCs w:val="24"/>
        </w:rPr>
      </w:pPr>
      <w:r>
        <w:rPr>
          <w:color w:val="auto"/>
          <w:szCs w:val="24"/>
        </w:rPr>
        <w:t>p</w:t>
      </w:r>
      <w:r w:rsidR="00A81356" w:rsidRPr="00643600">
        <w:rPr>
          <w:color w:val="auto"/>
          <w:szCs w:val="24"/>
        </w:rPr>
        <w:t xml:space="preserve">race przygotowawcze </w:t>
      </w:r>
      <w:r w:rsidR="00982EC1" w:rsidRPr="00643600">
        <w:rPr>
          <w:color w:val="auto"/>
          <w:szCs w:val="24"/>
        </w:rPr>
        <w:t xml:space="preserve">w zakresie wskazanym w umowie o dofinansowanie projektu przez IZ FEWL 21-27 oraz w umowie o dofinansowanie projektu realizowanego w trybie „zaprojektuj i wybuduj” </w:t>
      </w:r>
      <w:proofErr w:type="spellStart"/>
      <w:r w:rsidR="00982EC1" w:rsidRPr="00643600">
        <w:rPr>
          <w:color w:val="auto"/>
          <w:szCs w:val="24"/>
        </w:rPr>
        <w:t>tj</w:t>
      </w:r>
      <w:proofErr w:type="spellEnd"/>
      <w:r w:rsidR="00982EC1" w:rsidRPr="00643600">
        <w:rPr>
          <w:color w:val="auto"/>
          <w:szCs w:val="24"/>
        </w:rPr>
        <w:t>:</w:t>
      </w:r>
    </w:p>
    <w:p w14:paraId="5E29DE4A" w14:textId="73B0D6B5" w:rsidR="00A81356" w:rsidRPr="00B31264" w:rsidRDefault="00982EC1" w:rsidP="00220852">
      <w:pPr>
        <w:pStyle w:val="Akapitzlist"/>
        <w:numPr>
          <w:ilvl w:val="0"/>
          <w:numId w:val="13"/>
        </w:numPr>
        <w:ind w:left="567" w:hanging="218"/>
        <w:rPr>
          <w:strike/>
          <w:color w:val="auto"/>
          <w:szCs w:val="24"/>
        </w:rPr>
      </w:pPr>
      <w:r w:rsidRPr="00643600">
        <w:rPr>
          <w:color w:val="auto"/>
          <w:szCs w:val="24"/>
        </w:rPr>
        <w:t>analizy przygotowawcze (techniczne, finansowe, ekonomiczne), przygotowanie projektu budowlanego, złożenie wniosku o wydanie pozwolenia na budowę, przygotowanie oceny oddziaływania na środowisko, dokumentacji architektonicznej i planowania zieleni, przygotowanie studiów wykonalności, biznes planu, dokumentacji przetargowej, usługi doradcze związane z przygotowaniem inwestycji; podjęcie prac przygotowawczych</w:t>
      </w:r>
      <w:r w:rsidR="001F3E94">
        <w:rPr>
          <w:color w:val="auto"/>
          <w:szCs w:val="24"/>
        </w:rPr>
        <w:t>;</w:t>
      </w:r>
    </w:p>
    <w:p w14:paraId="04D5BE70" w14:textId="4C4472DA" w:rsidR="002A3757" w:rsidRPr="00643600" w:rsidRDefault="00406CB2" w:rsidP="00220852">
      <w:pPr>
        <w:pStyle w:val="Akapitzlist"/>
        <w:numPr>
          <w:ilvl w:val="0"/>
          <w:numId w:val="8"/>
        </w:numPr>
        <w:ind w:left="284" w:right="0"/>
        <w:rPr>
          <w:color w:val="auto"/>
          <w:szCs w:val="24"/>
        </w:rPr>
      </w:pPr>
      <w:r>
        <w:rPr>
          <w:color w:val="auto"/>
          <w:szCs w:val="24"/>
        </w:rPr>
        <w:lastRenderedPageBreak/>
        <w:t>z</w:t>
      </w:r>
      <w:r w:rsidR="003D2137" w:rsidRPr="00643600">
        <w:rPr>
          <w:color w:val="auto"/>
          <w:szCs w:val="24"/>
        </w:rPr>
        <w:t>godnie z Podrozdziałem 3.5. Podatek od towarów i usług (VAT) Wytycznych dotyczących kwalifikowalności wydatków na lata 2021-2027 Ministra Funduszy i Polityki Regionalnej, w</w:t>
      </w:r>
      <w:r w:rsidR="002A3757" w:rsidRPr="00643600">
        <w:rPr>
          <w:color w:val="auto"/>
          <w:szCs w:val="24"/>
        </w:rPr>
        <w:t>ydatki poniesione na podatek od towarów i usług mogą zostać uznane za kwalifikowalne</w:t>
      </w:r>
      <w:r w:rsidR="003D2137" w:rsidRPr="00643600">
        <w:rPr>
          <w:color w:val="auto"/>
          <w:szCs w:val="24"/>
        </w:rPr>
        <w:t>:</w:t>
      </w:r>
    </w:p>
    <w:p w14:paraId="5539E335" w14:textId="09AD0BEA" w:rsidR="002A3757" w:rsidRPr="00643600" w:rsidRDefault="002A3757" w:rsidP="00220852">
      <w:pPr>
        <w:pStyle w:val="Akapitzlist"/>
        <w:numPr>
          <w:ilvl w:val="0"/>
          <w:numId w:val="13"/>
        </w:numPr>
        <w:ind w:left="567" w:hanging="218"/>
        <w:rPr>
          <w:color w:val="auto"/>
          <w:szCs w:val="24"/>
        </w:rPr>
      </w:pPr>
      <w:r w:rsidRPr="00643600">
        <w:rPr>
          <w:color w:val="auto"/>
          <w:szCs w:val="24"/>
        </w:rPr>
        <w:t>w projekcie, którego łączny koszt</w:t>
      </w:r>
      <w:r w:rsidR="003D2137" w:rsidRPr="00220852">
        <w:rPr>
          <w:color w:val="auto"/>
          <w:szCs w:val="24"/>
        </w:rPr>
        <w:footnoteReference w:id="1"/>
      </w:r>
      <w:r w:rsidRPr="00643600">
        <w:rPr>
          <w:color w:val="auto"/>
          <w:szCs w:val="24"/>
        </w:rPr>
        <w:t xml:space="preserve"> jest mniejszy niż 5 mln EUR (włączając VAT), z wyłączeniem projektów objętych pomocą publiczną;</w:t>
      </w:r>
    </w:p>
    <w:p w14:paraId="14A26F20" w14:textId="78BC6E33" w:rsidR="00070B73" w:rsidRPr="00643600" w:rsidRDefault="002A3757" w:rsidP="00220852">
      <w:pPr>
        <w:pStyle w:val="Akapitzlist"/>
        <w:numPr>
          <w:ilvl w:val="0"/>
          <w:numId w:val="13"/>
        </w:numPr>
        <w:ind w:left="567" w:hanging="218"/>
        <w:rPr>
          <w:color w:val="auto"/>
          <w:szCs w:val="24"/>
        </w:rPr>
      </w:pPr>
      <w:r w:rsidRPr="00643600">
        <w:rPr>
          <w:color w:val="auto"/>
          <w:szCs w:val="24"/>
        </w:rPr>
        <w:t>w projekcie, którego łączny koszt wynosi, co najmniej 5 mln EUR (włączając VAT), może być kwalifikowalny, gdy brak jest prawnej możliwości odzyskania podatku VAT zgodnie z przepisami prawa krajowego</w:t>
      </w:r>
      <w:r w:rsidR="001F3E94">
        <w:rPr>
          <w:color w:val="auto"/>
          <w:szCs w:val="24"/>
        </w:rPr>
        <w:t>;</w:t>
      </w:r>
    </w:p>
    <w:p w14:paraId="4D2F6852" w14:textId="063E1541" w:rsidR="004773E6" w:rsidRPr="00643600" w:rsidRDefault="002A3757" w:rsidP="00220852">
      <w:pPr>
        <w:pStyle w:val="Akapitzlist"/>
        <w:numPr>
          <w:ilvl w:val="0"/>
          <w:numId w:val="8"/>
        </w:numPr>
        <w:ind w:left="284" w:right="0"/>
        <w:rPr>
          <w:color w:val="auto"/>
          <w:szCs w:val="24"/>
        </w:rPr>
      </w:pPr>
      <w:r w:rsidRPr="00643600">
        <w:rPr>
          <w:color w:val="auto"/>
          <w:szCs w:val="24"/>
        </w:rPr>
        <w:t>Wnioskodawca, który zaliczy podatek VAT do wydatków kwalifikowalnych, zobowiązany jest dołączyć do wniosku o dofinansowanie projektu „Oświadczenie o kwalifikowalności</w:t>
      </w:r>
      <w:r w:rsidR="00070B73" w:rsidRPr="00643600">
        <w:rPr>
          <w:color w:val="auto"/>
          <w:szCs w:val="24"/>
        </w:rPr>
        <w:t xml:space="preserve"> podatku</w:t>
      </w:r>
      <w:r w:rsidRPr="00643600">
        <w:rPr>
          <w:color w:val="auto"/>
          <w:szCs w:val="24"/>
        </w:rPr>
        <w:t xml:space="preserve"> VAT”. Oświadczenie składa się z dwóch integralnych części. W ramach pierwszej części Wnioskodawca/Partner</w:t>
      </w:r>
      <w:r w:rsidR="00D27021" w:rsidRPr="00643600">
        <w:rPr>
          <w:color w:val="auto"/>
          <w:szCs w:val="24"/>
        </w:rPr>
        <w:t xml:space="preserve"> (jeśli dotyczy)</w:t>
      </w:r>
      <w:r w:rsidRPr="00643600">
        <w:rPr>
          <w:color w:val="auto"/>
          <w:szCs w:val="24"/>
        </w:rPr>
        <w:t xml:space="preserve"> oświadcza, iż w chwili składania wniosku o dofinansowanie projektu nie ma prawnej możliwości odzyskania podatku VAT, którego wysokość została określona we wniosku o dofinansowanie projektu. Natomiast w części drugiej Wnioskodawca/Partner</w:t>
      </w:r>
      <w:r w:rsidR="00D27021" w:rsidRPr="00643600">
        <w:rPr>
          <w:color w:val="auto"/>
          <w:szCs w:val="24"/>
        </w:rPr>
        <w:t xml:space="preserve"> (jeśli dotyczy)</w:t>
      </w:r>
      <w:r w:rsidRPr="00643600">
        <w:rPr>
          <w:color w:val="auto"/>
          <w:szCs w:val="24"/>
        </w:rPr>
        <w:t xml:space="preserve"> zobowiązuje się do zwrotu zrefundowanej ze środków unijnych części VAT, jeżeli zaistnieją przesłanki umożliwiające odzyskanie tego podatku. IZ FEWL 21-27 zastrzega sobie możliwość weryfikacji kwalifikowalności podatku VAT na każdym etapie realizacji projektu.</w:t>
      </w:r>
    </w:p>
    <w:p w14:paraId="1E555CDF" w14:textId="77777777" w:rsidR="00962359" w:rsidRDefault="00962359">
      <w:pPr>
        <w:ind w:left="-5" w:right="0"/>
        <w:rPr>
          <w:b/>
          <w:color w:val="auto"/>
          <w:szCs w:val="24"/>
          <w:u w:val="single" w:color="000000"/>
        </w:rPr>
      </w:pPr>
    </w:p>
    <w:p w14:paraId="3495F463" w14:textId="37C51221" w:rsidR="00C10D58" w:rsidRPr="00643600" w:rsidRDefault="00B32CCF">
      <w:pPr>
        <w:ind w:left="-5" w:right="0"/>
        <w:rPr>
          <w:color w:val="auto"/>
          <w:szCs w:val="24"/>
        </w:rPr>
      </w:pPr>
      <w:r w:rsidRPr="00643600">
        <w:rPr>
          <w:b/>
          <w:color w:val="auto"/>
          <w:szCs w:val="24"/>
          <w:u w:val="single" w:color="000000"/>
        </w:rPr>
        <w:t xml:space="preserve">Koszty pośrednie – </w:t>
      </w:r>
      <w:r w:rsidRPr="00643600">
        <w:rPr>
          <w:color w:val="auto"/>
          <w:szCs w:val="24"/>
        </w:rPr>
        <w:t xml:space="preserve">koszty niezbędne do realizacji projektu, których nie można bezpośrednio przypisać do głównego celu projektu, w szczególności koszty administracyjne związane z obsługą projektu, która nie wymaga podejmowania merytorycznych działań zmierzających do osiągnięcia celu projektu. Kosztami pośrednimi w szczególności są: </w:t>
      </w:r>
    </w:p>
    <w:p w14:paraId="77CD51ED" w14:textId="45056880" w:rsidR="00C10D58" w:rsidRPr="00643600" w:rsidRDefault="00B32CCF" w:rsidP="00CF6757">
      <w:pPr>
        <w:numPr>
          <w:ilvl w:val="1"/>
          <w:numId w:val="2"/>
        </w:numPr>
        <w:ind w:left="426" w:right="0" w:hanging="406"/>
        <w:rPr>
          <w:color w:val="auto"/>
          <w:szCs w:val="24"/>
        </w:rPr>
      </w:pPr>
      <w:r w:rsidRPr="00643600">
        <w:rPr>
          <w:color w:val="auto"/>
          <w:szCs w:val="24"/>
        </w:rPr>
        <w:t>koszty koordynatora projektu oraz innego personelu zaangażowanego w</w:t>
      </w:r>
      <w:r w:rsidR="006D5A36" w:rsidRPr="00643600">
        <w:rPr>
          <w:color w:val="auto"/>
          <w:szCs w:val="24"/>
        </w:rPr>
        <w:t> </w:t>
      </w:r>
      <w:r w:rsidRPr="00643600">
        <w:rPr>
          <w:color w:val="auto"/>
          <w:szCs w:val="24"/>
        </w:rPr>
        <w:t xml:space="preserve"> zarządzanie, rozliczanie, monitorowanie projektu lub prowadzenie innych działań administracyjnych  w projekcie, w szczególności koszty wynagrodzenia tych osób, ich delegacji służbowych  i szkoleń, </w:t>
      </w:r>
    </w:p>
    <w:p w14:paraId="1ACCFABE"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zarządu (wynagrodzenia osób uprawnionych do reprezentowania jednostki, których zakresy czynności nie są przypisane wyłącznie do projektu, np. kierownika jednostki), </w:t>
      </w:r>
    </w:p>
    <w:p w14:paraId="44BC186D"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personelu obsługowego (obsługa kadrowa, finansowa, administracyjna, sekretariat, kancelaria, obsługa prawna, w tym dotycząca zamówień) na potrzeby funkcjonowania jednostki, </w:t>
      </w:r>
    </w:p>
    <w:p w14:paraId="7F01D96C" w14:textId="3756C17D" w:rsidR="00C10D58" w:rsidRPr="00643600" w:rsidRDefault="00B32CCF" w:rsidP="00CF6757">
      <w:pPr>
        <w:numPr>
          <w:ilvl w:val="1"/>
          <w:numId w:val="2"/>
        </w:numPr>
        <w:ind w:left="426" w:right="0" w:hanging="406"/>
        <w:rPr>
          <w:color w:val="auto"/>
          <w:szCs w:val="24"/>
        </w:rPr>
      </w:pPr>
      <w:r w:rsidRPr="00643600">
        <w:rPr>
          <w:color w:val="auto"/>
          <w:szCs w:val="24"/>
        </w:rPr>
        <w:t>koszty obsługi księgowej (wynagrodzenia osób księgujących wydatki w</w:t>
      </w:r>
      <w:r w:rsidR="006D5A36" w:rsidRPr="00643600">
        <w:rPr>
          <w:color w:val="auto"/>
          <w:szCs w:val="24"/>
        </w:rPr>
        <w:t> </w:t>
      </w:r>
      <w:r w:rsidRPr="00643600">
        <w:rPr>
          <w:color w:val="auto"/>
          <w:szCs w:val="24"/>
        </w:rPr>
        <w:t xml:space="preserve"> projekcie, koszty związane ze zleceniem prowadzenia obsługi księgowej projektu biuru rachunkowemu), </w:t>
      </w:r>
    </w:p>
    <w:p w14:paraId="04FEFD8C"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utrzymania powierzchni biurowych (czynsz, najem, opłaty administracyjne), </w:t>
      </w:r>
    </w:p>
    <w:p w14:paraId="45519A55"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wydatki związane z otworzeniem lub prowadzeniem wyodrębnionego na rzecz projektu subkonta na rachunku płatniczym lub odrębnego rachunku płatniczego, </w:t>
      </w:r>
    </w:p>
    <w:p w14:paraId="669A8ABD" w14:textId="6537F23D" w:rsidR="00C10D58" w:rsidRPr="00643600" w:rsidRDefault="00B32CCF" w:rsidP="00CF6757">
      <w:pPr>
        <w:numPr>
          <w:ilvl w:val="1"/>
          <w:numId w:val="2"/>
        </w:numPr>
        <w:ind w:left="426" w:right="0" w:hanging="406"/>
        <w:rPr>
          <w:color w:val="auto"/>
          <w:szCs w:val="24"/>
        </w:rPr>
      </w:pPr>
      <w:r w:rsidRPr="00643600">
        <w:rPr>
          <w:color w:val="auto"/>
          <w:szCs w:val="24"/>
        </w:rPr>
        <w:t>odpisy</w:t>
      </w:r>
      <w:r w:rsidR="00CF6757">
        <w:rPr>
          <w:color w:val="auto"/>
          <w:szCs w:val="24"/>
        </w:rPr>
        <w:t>,</w:t>
      </w:r>
      <w:r w:rsidRPr="00643600">
        <w:rPr>
          <w:color w:val="auto"/>
          <w:szCs w:val="24"/>
        </w:rPr>
        <w:t xml:space="preserve"> amortyzacje, koszty najmu lub zakupu aktywów (środków trwałych i</w:t>
      </w:r>
      <w:r w:rsidR="006D5A36" w:rsidRPr="00643600">
        <w:rPr>
          <w:color w:val="auto"/>
          <w:szCs w:val="24"/>
        </w:rPr>
        <w:t> </w:t>
      </w:r>
      <w:r w:rsidRPr="00643600">
        <w:rPr>
          <w:color w:val="auto"/>
          <w:szCs w:val="24"/>
        </w:rPr>
        <w:t xml:space="preserve"> wartości niematerialnych i prawnych) używanych na potrzeby osób, o których mowa w pkt. 1 - 4, </w:t>
      </w:r>
    </w:p>
    <w:p w14:paraId="51C96906"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opłaty za energię elektryczną, cieplną, gazową i wodę, opłaty przesyłowe, opłaty  za odprowadzanie ścieków, opłaty za wywóz odpadów komunalnych, </w:t>
      </w:r>
    </w:p>
    <w:p w14:paraId="36CEE864"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usług pocztowych, telefonicznych, internetowych, kurierskich, </w:t>
      </w:r>
    </w:p>
    <w:p w14:paraId="3AB61CAB"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usług powielania dokumentów, </w:t>
      </w:r>
    </w:p>
    <w:p w14:paraId="7776ABE0"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materiałów biurowych i artykułów piśmienniczych, </w:t>
      </w:r>
    </w:p>
    <w:p w14:paraId="1EACB5D3"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ochrony, </w:t>
      </w:r>
    </w:p>
    <w:p w14:paraId="62C82675"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koszty sprzątania pomieszczeń, w tym środków czystości, dezynsekcji, dezynfekcji, deratyzacji tych pomieszczeń, </w:t>
      </w:r>
    </w:p>
    <w:p w14:paraId="3378494C" w14:textId="77777777" w:rsidR="00C10D58" w:rsidRPr="00643600" w:rsidRDefault="00B32CCF" w:rsidP="00CF6757">
      <w:pPr>
        <w:numPr>
          <w:ilvl w:val="1"/>
          <w:numId w:val="2"/>
        </w:numPr>
        <w:ind w:left="426" w:right="0" w:hanging="406"/>
        <w:rPr>
          <w:color w:val="auto"/>
          <w:szCs w:val="24"/>
        </w:rPr>
      </w:pPr>
      <w:r w:rsidRPr="00643600">
        <w:rPr>
          <w:color w:val="auto"/>
          <w:szCs w:val="24"/>
        </w:rPr>
        <w:t xml:space="preserve">opłaty pobierane od dokonywanych transakcji płatniczych (krajowych lub zagranicznych). </w:t>
      </w:r>
    </w:p>
    <w:p w14:paraId="28A0A694" w14:textId="77777777" w:rsidR="00C10D58" w:rsidRPr="00643600" w:rsidRDefault="00B32CCF" w:rsidP="00CF6757">
      <w:pPr>
        <w:spacing w:after="0" w:line="276" w:lineRule="auto"/>
        <w:ind w:left="0" w:right="0" w:firstLine="0"/>
        <w:rPr>
          <w:color w:val="auto"/>
          <w:szCs w:val="24"/>
        </w:rPr>
      </w:pPr>
      <w:r w:rsidRPr="00643600">
        <w:rPr>
          <w:b/>
          <w:color w:val="auto"/>
          <w:szCs w:val="24"/>
          <w:u w:val="single" w:color="000000"/>
        </w:rPr>
        <w:t>Dla kosztów pośrednich stosuje się Uproszczone metody rozliczania do 7% stawka</w:t>
      </w:r>
      <w:r w:rsidRPr="00643600">
        <w:rPr>
          <w:b/>
          <w:color w:val="auto"/>
          <w:szCs w:val="24"/>
        </w:rPr>
        <w:t xml:space="preserve"> </w:t>
      </w:r>
      <w:r w:rsidRPr="00643600">
        <w:rPr>
          <w:b/>
          <w:color w:val="auto"/>
          <w:szCs w:val="24"/>
          <w:u w:val="single" w:color="000000"/>
        </w:rPr>
        <w:t>ryczałtowa na koszty pośrednie (podstawa wyliczenia: koszty bezpośrednie) [art. 54(a) CPR]</w:t>
      </w:r>
      <w:r w:rsidRPr="00643600">
        <w:rPr>
          <w:b/>
          <w:color w:val="auto"/>
          <w:szCs w:val="24"/>
        </w:rPr>
        <w:t xml:space="preserve"> </w:t>
      </w:r>
    </w:p>
    <w:p w14:paraId="5E9CDD2D" w14:textId="25EDF92F" w:rsidR="00643600" w:rsidRPr="00B31264" w:rsidRDefault="00B32CCF">
      <w:pPr>
        <w:spacing w:after="55" w:line="259" w:lineRule="auto"/>
        <w:ind w:left="0" w:right="0" w:firstLine="0"/>
        <w:jc w:val="left"/>
        <w:rPr>
          <w:b/>
          <w:color w:val="auto"/>
          <w:szCs w:val="24"/>
        </w:rPr>
      </w:pPr>
      <w:r w:rsidRPr="00643600">
        <w:rPr>
          <w:b/>
          <w:color w:val="auto"/>
          <w:szCs w:val="24"/>
        </w:rPr>
        <w:t xml:space="preserve"> </w:t>
      </w:r>
    </w:p>
    <w:p w14:paraId="001740D8" w14:textId="77777777" w:rsidR="00C10D58" w:rsidRPr="00643600" w:rsidRDefault="00B32CCF">
      <w:pPr>
        <w:pStyle w:val="Nagwek1"/>
        <w:ind w:left="242" w:hanging="257"/>
        <w:rPr>
          <w:color w:val="auto"/>
          <w:sz w:val="24"/>
          <w:szCs w:val="24"/>
        </w:rPr>
      </w:pPr>
      <w:r w:rsidRPr="00643600">
        <w:rPr>
          <w:color w:val="auto"/>
          <w:sz w:val="24"/>
          <w:szCs w:val="24"/>
        </w:rPr>
        <w:t>Wydatki niekwalifikowalne</w:t>
      </w:r>
      <w:r w:rsidRPr="00643600">
        <w:rPr>
          <w:color w:val="auto"/>
          <w:sz w:val="24"/>
          <w:szCs w:val="24"/>
          <w:u w:val="none"/>
        </w:rPr>
        <w:t xml:space="preserve"> </w:t>
      </w:r>
    </w:p>
    <w:p w14:paraId="6B324324" w14:textId="77777777" w:rsidR="008B21A8" w:rsidRPr="00643600" w:rsidRDefault="008B21A8" w:rsidP="00CF6757">
      <w:pPr>
        <w:spacing w:after="0" w:line="259" w:lineRule="auto"/>
        <w:ind w:left="0" w:right="0" w:firstLine="0"/>
        <w:jc w:val="left"/>
        <w:rPr>
          <w:b/>
          <w:color w:val="auto"/>
          <w:szCs w:val="24"/>
        </w:rPr>
      </w:pPr>
      <w:r w:rsidRPr="00643600">
        <w:rPr>
          <w:b/>
          <w:color w:val="auto"/>
          <w:szCs w:val="24"/>
        </w:rPr>
        <w:t xml:space="preserve">Do wydatków niekwalifikowalnych mogą zostać zaliczone w szczególności: </w:t>
      </w:r>
    </w:p>
    <w:p w14:paraId="4E039BF2" w14:textId="1FAFA206" w:rsidR="00A81356" w:rsidRPr="00643600" w:rsidRDefault="00A81356" w:rsidP="00CF6757">
      <w:pPr>
        <w:pStyle w:val="Akapitzlist"/>
        <w:numPr>
          <w:ilvl w:val="0"/>
          <w:numId w:val="11"/>
        </w:numPr>
        <w:spacing w:after="583" w:line="259" w:lineRule="auto"/>
        <w:ind w:left="426" w:right="0"/>
        <w:rPr>
          <w:color w:val="auto"/>
          <w:szCs w:val="24"/>
        </w:rPr>
      </w:pPr>
      <w:r w:rsidRPr="00643600">
        <w:rPr>
          <w:color w:val="auto"/>
          <w:szCs w:val="24"/>
        </w:rPr>
        <w:t>wydatki wskazane w art. 64 rozporządzenia ogólnego, art. 7 ust. 1 i 5 rozporządzenia EFRR i FS, art. 16 ust. 1 rozporządzenia EFS+, art. 9 rozporządzenia FST</w:t>
      </w:r>
      <w:r w:rsidR="009B4935" w:rsidRPr="00643600">
        <w:rPr>
          <w:color w:val="auto"/>
          <w:szCs w:val="24"/>
        </w:rPr>
        <w:t>,</w:t>
      </w:r>
    </w:p>
    <w:p w14:paraId="78DF4C67" w14:textId="59CC35D8" w:rsidR="009B4935" w:rsidRPr="00643600" w:rsidRDefault="008B21A8" w:rsidP="00CF6757">
      <w:pPr>
        <w:pStyle w:val="Akapitzlist"/>
        <w:numPr>
          <w:ilvl w:val="0"/>
          <w:numId w:val="11"/>
        </w:numPr>
        <w:spacing w:after="583" w:line="259" w:lineRule="auto"/>
        <w:ind w:left="426" w:right="0"/>
        <w:rPr>
          <w:color w:val="auto"/>
          <w:szCs w:val="24"/>
        </w:rPr>
      </w:pPr>
      <w:r w:rsidRPr="00643600">
        <w:rPr>
          <w:color w:val="auto"/>
          <w:szCs w:val="24"/>
        </w:rPr>
        <w:t xml:space="preserve">wydatki ujęte w </w:t>
      </w:r>
      <w:r w:rsidR="00A81356" w:rsidRPr="00643600">
        <w:rPr>
          <w:color w:val="auto"/>
          <w:szCs w:val="24"/>
        </w:rPr>
        <w:t>p</w:t>
      </w:r>
      <w:r w:rsidRPr="00643600">
        <w:rPr>
          <w:color w:val="auto"/>
          <w:szCs w:val="24"/>
        </w:rPr>
        <w:t>odrozdziale 2.3. Wydatki niekwalifikowalne Wytycznych Ministra Funduszy i Polityki Regionalnej dotyczących kwalifikowalności wydatków na lata 2021-2027</w:t>
      </w:r>
      <w:r w:rsidR="009B4935" w:rsidRPr="00643600">
        <w:rPr>
          <w:color w:val="auto"/>
          <w:szCs w:val="24"/>
        </w:rPr>
        <w:t xml:space="preserve">, </w:t>
      </w:r>
    </w:p>
    <w:p w14:paraId="13CA4FCA" w14:textId="107E5C73" w:rsidR="009B4935" w:rsidRPr="00643600" w:rsidRDefault="009B4935" w:rsidP="00CF6757">
      <w:pPr>
        <w:pStyle w:val="Akapitzlist"/>
        <w:numPr>
          <w:ilvl w:val="0"/>
          <w:numId w:val="11"/>
        </w:numPr>
        <w:spacing w:after="583" w:line="259" w:lineRule="auto"/>
        <w:ind w:left="426" w:right="0"/>
        <w:rPr>
          <w:color w:val="auto"/>
          <w:szCs w:val="24"/>
        </w:rPr>
      </w:pPr>
      <w:r w:rsidRPr="00643600">
        <w:rPr>
          <w:color w:val="auto"/>
          <w:szCs w:val="24"/>
        </w:rPr>
        <w:t>pozostałe wydatki nie wymienione w katalogu.</w:t>
      </w:r>
    </w:p>
    <w:p w14:paraId="318D41EE" w14:textId="46C52286" w:rsidR="00C10D58" w:rsidRPr="00643600" w:rsidRDefault="009B4935" w:rsidP="009B4935">
      <w:pPr>
        <w:pStyle w:val="Akapitzlist"/>
        <w:spacing w:after="583" w:line="259" w:lineRule="auto"/>
        <w:ind w:right="0" w:firstLine="0"/>
        <w:rPr>
          <w:color w:val="auto"/>
          <w:szCs w:val="24"/>
        </w:rPr>
      </w:pPr>
      <w:r w:rsidRPr="00643600">
        <w:rPr>
          <w:color w:val="auto"/>
          <w:szCs w:val="24"/>
        </w:rPr>
        <w:t xml:space="preserve"> </w:t>
      </w:r>
      <w:r w:rsidR="00B32CCF" w:rsidRPr="00643600">
        <w:rPr>
          <w:rFonts w:eastAsia="Calibri"/>
          <w:noProof/>
          <w:color w:val="FF0000"/>
          <w:szCs w:val="24"/>
        </w:rPr>
        <mc:AlternateContent>
          <mc:Choice Requires="wpg">
            <w:drawing>
              <wp:inline distT="0" distB="0" distL="0" distR="0" wp14:anchorId="13271C6F" wp14:editId="5E7A810D">
                <wp:extent cx="1828800" cy="9144"/>
                <wp:effectExtent l="0" t="0" r="0" b="0"/>
                <wp:docPr id="3854" name="Group 3854"/>
                <wp:cNvGraphicFramePr/>
                <a:graphic xmlns:a="http://schemas.openxmlformats.org/drawingml/2006/main">
                  <a:graphicData uri="http://schemas.microsoft.com/office/word/2010/wordprocessingGroup">
                    <wpg:wgp>
                      <wpg:cNvGrpSpPr/>
                      <wpg:grpSpPr>
                        <a:xfrm>
                          <a:off x="0" y="0"/>
                          <a:ext cx="1828800" cy="9144"/>
                          <a:chOff x="0" y="0"/>
                          <a:chExt cx="1828800" cy="9144"/>
                        </a:xfrm>
                      </wpg:grpSpPr>
                      <wps:wsp>
                        <wps:cNvPr id="4224" name="Shape 4224"/>
                        <wps:cNvSpPr/>
                        <wps:spPr>
                          <a:xfrm>
                            <a:off x="0" y="0"/>
                            <a:ext cx="1828800" cy="9144"/>
                          </a:xfrm>
                          <a:custGeom>
                            <a:avLst/>
                            <a:gdLst/>
                            <a:ahLst/>
                            <a:cxnLst/>
                            <a:rect l="0" t="0" r="0" b="0"/>
                            <a:pathLst>
                              <a:path w="1828800" h="9144">
                                <a:moveTo>
                                  <a:pt x="0" y="0"/>
                                </a:moveTo>
                                <a:lnTo>
                                  <a:pt x="1828800" y="0"/>
                                </a:lnTo>
                                <a:lnTo>
                                  <a:pt x="1828800"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xmlns:a="http://schemas.openxmlformats.org/drawingml/2006/main">
            <w:pict>
              <v:group id="Group 3854" style="width:144pt;height:0.719971pt;mso-position-horizontal-relative:char;mso-position-vertical-relative:line" coordsize="18288,91">
                <v:shape id="Shape 4225" style="position:absolute;width:18288;height:91;left:0;top:0;" coordsize="1828800,9144" path="m0,0l1828800,0l1828800,9144l0,9144l0,0">
                  <v:stroke weight="0pt" endcap="flat" joinstyle="miter" miterlimit="10" on="false" color="#000000" opacity="0"/>
                  <v:fill on="true" color="#000000"/>
                </v:shape>
              </v:group>
            </w:pict>
          </mc:Fallback>
        </mc:AlternateContent>
      </w:r>
      <w:r w:rsidR="00B32CCF" w:rsidRPr="00643600">
        <w:rPr>
          <w:rFonts w:eastAsia="Calibri"/>
          <w:color w:val="FF0000"/>
          <w:szCs w:val="24"/>
        </w:rPr>
        <w:t xml:space="preserve"> </w:t>
      </w:r>
    </w:p>
    <w:sectPr w:rsidR="00C10D58" w:rsidRPr="00643600">
      <w:footerReference w:type="even" r:id="rId8"/>
      <w:footerReference w:type="default" r:id="rId9"/>
      <w:footerReference w:type="first" r:id="rId10"/>
      <w:footnotePr>
        <w:numRestart w:val="eachPage"/>
      </w:footnotePr>
      <w:pgSz w:w="11900" w:h="16840"/>
      <w:pgMar w:top="1417" w:right="1407" w:bottom="2069" w:left="1416" w:header="708" w:footer="65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030A77" w14:textId="77777777" w:rsidR="0076656A" w:rsidRDefault="0076656A">
      <w:pPr>
        <w:spacing w:after="0" w:line="240" w:lineRule="auto"/>
      </w:pPr>
      <w:r>
        <w:separator/>
      </w:r>
    </w:p>
  </w:endnote>
  <w:endnote w:type="continuationSeparator" w:id="0">
    <w:p w14:paraId="65E7EF32" w14:textId="77777777" w:rsidR="0076656A" w:rsidRDefault="007665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538E2D" w14:textId="77777777" w:rsidR="00C10D58" w:rsidRDefault="00B32CCF">
    <w:pPr>
      <w:spacing w:after="878" w:line="259" w:lineRule="auto"/>
      <w:ind w:left="0" w:right="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738235D4" w14:textId="77777777" w:rsidR="00C10D58" w:rsidRDefault="00B32CCF">
    <w:pPr>
      <w:spacing w:after="0" w:line="259" w:lineRule="auto"/>
      <w:ind w:left="0" w:right="-40" w:firstLine="0"/>
      <w:jc w:val="right"/>
    </w:pPr>
    <w:r>
      <w:rPr>
        <w:noProof/>
      </w:rPr>
      <w:drawing>
        <wp:anchor distT="0" distB="0" distL="114300" distR="114300" simplePos="0" relativeHeight="251658240" behindDoc="0" locked="0" layoutInCell="1" allowOverlap="0" wp14:anchorId="5D2B6D66" wp14:editId="6610D54B">
          <wp:simplePos x="0" y="0"/>
          <wp:positionH relativeFrom="page">
            <wp:posOffset>910336</wp:posOffset>
          </wp:positionH>
          <wp:positionV relativeFrom="page">
            <wp:posOffset>9543288</wp:posOffset>
          </wp:positionV>
          <wp:extent cx="5745481" cy="697992"/>
          <wp:effectExtent l="0" t="0" r="0" b="0"/>
          <wp:wrapSquare wrapText="bothSides"/>
          <wp:docPr id="3368"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05515A" w14:textId="62EEE99C" w:rsidR="00C10D58" w:rsidRDefault="00B32CCF" w:rsidP="006D5A36">
    <w:pPr>
      <w:spacing w:after="878" w:line="259" w:lineRule="auto"/>
      <w:ind w:left="0" w:right="5" w:firstLine="0"/>
      <w:jc w:val="center"/>
    </w:pPr>
    <w:r>
      <w:fldChar w:fldCharType="begin"/>
    </w:r>
    <w:r>
      <w:instrText xml:space="preserve"> PAGE   \* MERGEFORMAT </w:instrText>
    </w:r>
    <w:r>
      <w:fldChar w:fldCharType="separate"/>
    </w:r>
    <w:r w:rsidR="0063283B" w:rsidRPr="0063283B">
      <w:rPr>
        <w:noProof/>
        <w:sz w:val="22"/>
      </w:rPr>
      <w:t>4</w:t>
    </w:r>
    <w:r>
      <w:rPr>
        <w:sz w:val="22"/>
      </w:rPr>
      <w:fldChar w:fldCharType="end"/>
    </w:r>
  </w:p>
  <w:p w14:paraId="5C0EE0FB" w14:textId="77777777" w:rsidR="00C10D58" w:rsidRDefault="00B32CCF">
    <w:pPr>
      <w:spacing w:after="0" w:line="259" w:lineRule="auto"/>
      <w:ind w:left="0" w:right="-40" w:firstLine="0"/>
      <w:jc w:val="right"/>
    </w:pPr>
    <w:r>
      <w:rPr>
        <w:noProof/>
      </w:rPr>
      <w:drawing>
        <wp:anchor distT="0" distB="0" distL="114300" distR="114300" simplePos="0" relativeHeight="251659264" behindDoc="0" locked="0" layoutInCell="1" allowOverlap="0" wp14:anchorId="2ED38606" wp14:editId="03C95D9D">
          <wp:simplePos x="0" y="0"/>
          <wp:positionH relativeFrom="page">
            <wp:posOffset>910336</wp:posOffset>
          </wp:positionH>
          <wp:positionV relativeFrom="page">
            <wp:posOffset>9543288</wp:posOffset>
          </wp:positionV>
          <wp:extent cx="5745481" cy="697992"/>
          <wp:effectExtent l="0" t="0" r="0" b="0"/>
          <wp:wrapSquare wrapText="bothSides"/>
          <wp:docPr id="121663793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17C778" w14:textId="77777777" w:rsidR="00C10D58" w:rsidRDefault="00B32CCF">
    <w:pPr>
      <w:spacing w:after="878" w:line="259" w:lineRule="auto"/>
      <w:ind w:left="0" w:right="5" w:firstLine="0"/>
      <w:jc w:val="right"/>
    </w:pPr>
    <w:r>
      <w:fldChar w:fldCharType="begin"/>
    </w:r>
    <w:r>
      <w:instrText xml:space="preserve"> PAGE   \* MERGEFORMAT </w:instrText>
    </w:r>
    <w:r>
      <w:fldChar w:fldCharType="separate"/>
    </w:r>
    <w:r>
      <w:rPr>
        <w:sz w:val="22"/>
      </w:rPr>
      <w:t>1</w:t>
    </w:r>
    <w:r>
      <w:rPr>
        <w:sz w:val="22"/>
      </w:rPr>
      <w:fldChar w:fldCharType="end"/>
    </w:r>
    <w:r>
      <w:rPr>
        <w:sz w:val="22"/>
      </w:rPr>
      <w:t xml:space="preserve"> </w:t>
    </w:r>
  </w:p>
  <w:p w14:paraId="514C34F6" w14:textId="77777777" w:rsidR="00C10D58" w:rsidRDefault="00B32CCF">
    <w:pPr>
      <w:spacing w:after="0" w:line="259" w:lineRule="auto"/>
      <w:ind w:left="0" w:right="-40" w:firstLine="0"/>
      <w:jc w:val="right"/>
    </w:pPr>
    <w:r>
      <w:rPr>
        <w:noProof/>
      </w:rPr>
      <w:drawing>
        <wp:anchor distT="0" distB="0" distL="114300" distR="114300" simplePos="0" relativeHeight="251660288" behindDoc="0" locked="0" layoutInCell="1" allowOverlap="0" wp14:anchorId="5F1903CF" wp14:editId="5DB409BE">
          <wp:simplePos x="0" y="0"/>
          <wp:positionH relativeFrom="page">
            <wp:posOffset>910336</wp:posOffset>
          </wp:positionH>
          <wp:positionV relativeFrom="page">
            <wp:posOffset>9543288</wp:posOffset>
          </wp:positionV>
          <wp:extent cx="5745481" cy="697992"/>
          <wp:effectExtent l="0" t="0" r="0" b="0"/>
          <wp:wrapSquare wrapText="bothSides"/>
          <wp:docPr id="403913746" name="Picture 3368"/>
          <wp:cNvGraphicFramePr/>
          <a:graphic xmlns:a="http://schemas.openxmlformats.org/drawingml/2006/main">
            <a:graphicData uri="http://schemas.openxmlformats.org/drawingml/2006/picture">
              <pic:pic xmlns:pic="http://schemas.openxmlformats.org/drawingml/2006/picture">
                <pic:nvPicPr>
                  <pic:cNvPr id="3368" name="Picture 3368"/>
                  <pic:cNvPicPr/>
                </pic:nvPicPr>
                <pic:blipFill>
                  <a:blip r:embed="rId1"/>
                  <a:stretch>
                    <a:fillRect/>
                  </a:stretch>
                </pic:blipFill>
                <pic:spPr>
                  <a:xfrm>
                    <a:off x="0" y="0"/>
                    <a:ext cx="5745481" cy="697992"/>
                  </a:xfrm>
                  <a:prstGeom prst="rect">
                    <a:avLst/>
                  </a:prstGeom>
                </pic:spPr>
              </pic:pic>
            </a:graphicData>
          </a:graphic>
        </wp:anchor>
      </w:drawing>
    </w:r>
    <w:r>
      <w:rPr>
        <w:rFonts w:ascii="Calibri" w:eastAsia="Calibri" w:hAnsi="Calibri" w:cs="Calibri"/>
        <w:sz w:val="2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B82D35" w14:textId="77777777" w:rsidR="0076656A" w:rsidRDefault="0076656A">
      <w:pPr>
        <w:spacing w:after="0" w:line="261" w:lineRule="auto"/>
        <w:ind w:left="0" w:right="0" w:firstLine="0"/>
      </w:pPr>
      <w:r>
        <w:separator/>
      </w:r>
    </w:p>
  </w:footnote>
  <w:footnote w:type="continuationSeparator" w:id="0">
    <w:p w14:paraId="76799A7E" w14:textId="77777777" w:rsidR="0076656A" w:rsidRDefault="0076656A">
      <w:pPr>
        <w:spacing w:after="0" w:line="261" w:lineRule="auto"/>
        <w:ind w:left="0" w:right="0" w:firstLine="0"/>
      </w:pPr>
      <w:r>
        <w:continuationSeparator/>
      </w:r>
    </w:p>
  </w:footnote>
  <w:footnote w:id="1">
    <w:p w14:paraId="4EAED504" w14:textId="755E4640" w:rsidR="003D2137" w:rsidRDefault="003D2137">
      <w:pPr>
        <w:pStyle w:val="Tekstprzypisudolnego"/>
      </w:pPr>
      <w:r>
        <w:rPr>
          <w:rStyle w:val="Odwoanieprzypisudolnego"/>
        </w:rPr>
        <w:footnoteRef/>
      </w:r>
      <w:r>
        <w:t xml:space="preserve"> Łączny koszt projektu należy rozumieć jako całkowity koszt projektu obejmujący koszty kwalifikowalne i niekwalifikowalne.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260A"/>
    <w:multiLevelType w:val="hybridMultilevel"/>
    <w:tmpl w:val="225EE9BA"/>
    <w:lvl w:ilvl="0" w:tplc="3C5863E0">
      <w:start w:val="1"/>
      <w:numFmt w:val="upperRoman"/>
      <w:pStyle w:val="Nagwek1"/>
      <w:lvlText w:val="%1."/>
      <w:lvlJc w:val="left"/>
      <w:pPr>
        <w:ind w:left="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1" w:tplc="053E8F0E">
      <w:start w:val="1"/>
      <w:numFmt w:val="lowerLetter"/>
      <w:lvlText w:val="%2"/>
      <w:lvlJc w:val="left"/>
      <w:pPr>
        <w:ind w:left="108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2" w:tplc="7ED29A92">
      <w:start w:val="1"/>
      <w:numFmt w:val="lowerRoman"/>
      <w:lvlText w:val="%3"/>
      <w:lvlJc w:val="left"/>
      <w:pPr>
        <w:ind w:left="180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3" w:tplc="4426C00E">
      <w:start w:val="1"/>
      <w:numFmt w:val="decimal"/>
      <w:lvlText w:val="%4"/>
      <w:lvlJc w:val="left"/>
      <w:pPr>
        <w:ind w:left="252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4" w:tplc="8A767CAC">
      <w:start w:val="1"/>
      <w:numFmt w:val="lowerLetter"/>
      <w:lvlText w:val="%5"/>
      <w:lvlJc w:val="left"/>
      <w:pPr>
        <w:ind w:left="324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5" w:tplc="7A80F642">
      <w:start w:val="1"/>
      <w:numFmt w:val="lowerRoman"/>
      <w:lvlText w:val="%6"/>
      <w:lvlJc w:val="left"/>
      <w:pPr>
        <w:ind w:left="396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6" w:tplc="D39A6596">
      <w:start w:val="1"/>
      <w:numFmt w:val="decimal"/>
      <w:lvlText w:val="%7"/>
      <w:lvlJc w:val="left"/>
      <w:pPr>
        <w:ind w:left="468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7" w:tplc="849A9682">
      <w:start w:val="1"/>
      <w:numFmt w:val="lowerLetter"/>
      <w:lvlText w:val="%8"/>
      <w:lvlJc w:val="left"/>
      <w:pPr>
        <w:ind w:left="540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lvl w:ilvl="8" w:tplc="80DC012A">
      <w:start w:val="1"/>
      <w:numFmt w:val="lowerRoman"/>
      <w:lvlText w:val="%9"/>
      <w:lvlJc w:val="left"/>
      <w:pPr>
        <w:ind w:left="6120"/>
      </w:pPr>
      <w:rPr>
        <w:rFonts w:ascii="Arial" w:eastAsia="Arial" w:hAnsi="Arial" w:cs="Arial"/>
        <w:b/>
        <w:bCs/>
        <w:i w:val="0"/>
        <w:strike w:val="0"/>
        <w:dstrike w:val="0"/>
        <w:color w:val="000000"/>
        <w:sz w:val="28"/>
        <w:szCs w:val="28"/>
        <w:u w:val="single" w:color="000000"/>
        <w:bdr w:val="none" w:sz="0" w:space="0" w:color="auto"/>
        <w:shd w:val="clear" w:color="auto" w:fill="auto"/>
        <w:vertAlign w:val="baseline"/>
      </w:rPr>
    </w:lvl>
  </w:abstractNum>
  <w:abstractNum w:abstractNumId="1" w15:restartNumberingAfterBreak="0">
    <w:nsid w:val="23C56C4D"/>
    <w:multiLevelType w:val="hybridMultilevel"/>
    <w:tmpl w:val="288E2EDC"/>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3EE51E20"/>
    <w:multiLevelType w:val="hybridMultilevel"/>
    <w:tmpl w:val="EAD232B6"/>
    <w:lvl w:ilvl="0" w:tplc="6998724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412C7E66"/>
    <w:multiLevelType w:val="hybridMultilevel"/>
    <w:tmpl w:val="BF2483F6"/>
    <w:lvl w:ilvl="0" w:tplc="7FDEDD6A">
      <w:start w:val="1"/>
      <w:numFmt w:val="bullet"/>
      <w:lvlText w:val="-"/>
      <w:lvlJc w:val="left"/>
      <w:pPr>
        <w:ind w:left="720" w:hanging="360"/>
      </w:pPr>
      <w:rPr>
        <w:rFonts w:ascii="Arial" w:hAnsi="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35D086D"/>
    <w:multiLevelType w:val="hybridMultilevel"/>
    <w:tmpl w:val="D6786FB8"/>
    <w:lvl w:ilvl="0" w:tplc="6E32DA68">
      <w:start w:val="1"/>
      <w:numFmt w:val="decimal"/>
      <w:lvlText w:val="%1."/>
      <w:lvlJc w:val="left"/>
      <w:pPr>
        <w:ind w:left="3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0A278E">
      <w:start w:val="1"/>
      <w:numFmt w:val="decimal"/>
      <w:lvlText w:val="%2."/>
      <w:lvlJc w:val="left"/>
      <w:pPr>
        <w:ind w:left="763"/>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B60C611C">
      <w:start w:val="1"/>
      <w:numFmt w:val="lowerRoman"/>
      <w:lvlText w:val="%3"/>
      <w:lvlJc w:val="left"/>
      <w:pPr>
        <w:ind w:left="14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E50E0B90">
      <w:start w:val="1"/>
      <w:numFmt w:val="decimal"/>
      <w:lvlText w:val="%4"/>
      <w:lvlJc w:val="left"/>
      <w:pPr>
        <w:ind w:left="21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27AFB98">
      <w:start w:val="1"/>
      <w:numFmt w:val="lowerLetter"/>
      <w:lvlText w:val="%5"/>
      <w:lvlJc w:val="left"/>
      <w:pPr>
        <w:ind w:left="28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BD38C56A">
      <w:start w:val="1"/>
      <w:numFmt w:val="lowerRoman"/>
      <w:lvlText w:val="%6"/>
      <w:lvlJc w:val="left"/>
      <w:pPr>
        <w:ind w:left="35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884B412">
      <w:start w:val="1"/>
      <w:numFmt w:val="decimal"/>
      <w:lvlText w:val="%7"/>
      <w:lvlJc w:val="left"/>
      <w:pPr>
        <w:ind w:left="43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A0CABC0">
      <w:start w:val="1"/>
      <w:numFmt w:val="lowerLetter"/>
      <w:lvlText w:val="%8"/>
      <w:lvlJc w:val="left"/>
      <w:pPr>
        <w:ind w:left="50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7778ABC2">
      <w:start w:val="1"/>
      <w:numFmt w:val="lowerRoman"/>
      <w:lvlText w:val="%9"/>
      <w:lvlJc w:val="left"/>
      <w:pPr>
        <w:ind w:left="57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43B40B8"/>
    <w:multiLevelType w:val="hybridMultilevel"/>
    <w:tmpl w:val="3C6413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4A670DC3"/>
    <w:multiLevelType w:val="hybridMultilevel"/>
    <w:tmpl w:val="4B682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11C62BE"/>
    <w:multiLevelType w:val="hybridMultilevel"/>
    <w:tmpl w:val="A4AE45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55196098"/>
    <w:multiLevelType w:val="hybridMultilevel"/>
    <w:tmpl w:val="E84A0422"/>
    <w:lvl w:ilvl="0" w:tplc="CA743962">
      <w:start w:val="1"/>
      <w:numFmt w:val="lowerLetter"/>
      <w:lvlText w:val="%1)"/>
      <w:lvlJc w:val="left"/>
      <w:pPr>
        <w:ind w:left="23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D6040092">
      <w:start w:val="1"/>
      <w:numFmt w:val="lowerLetter"/>
      <w:lvlText w:val="%2"/>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488C9DE6">
      <w:start w:val="1"/>
      <w:numFmt w:val="lowerRoman"/>
      <w:lvlText w:val="%3"/>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F9363E8C">
      <w:start w:val="1"/>
      <w:numFmt w:val="decimal"/>
      <w:lvlText w:val="%4"/>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F61AEFD0">
      <w:start w:val="1"/>
      <w:numFmt w:val="lowerLetter"/>
      <w:lvlText w:val="%5"/>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7E2CDE52">
      <w:start w:val="1"/>
      <w:numFmt w:val="lowerRoman"/>
      <w:lvlText w:val="%6"/>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76B0B824">
      <w:start w:val="1"/>
      <w:numFmt w:val="decimal"/>
      <w:lvlText w:val="%7"/>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D0ACDFA">
      <w:start w:val="1"/>
      <w:numFmt w:val="lowerLetter"/>
      <w:lvlText w:val="%8"/>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801C2C4C">
      <w:start w:val="1"/>
      <w:numFmt w:val="lowerRoman"/>
      <w:lvlText w:val="%9"/>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58E75B52"/>
    <w:multiLevelType w:val="hybridMultilevel"/>
    <w:tmpl w:val="EC9CCBC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5D28100A"/>
    <w:multiLevelType w:val="hybridMultilevel"/>
    <w:tmpl w:val="16F88C92"/>
    <w:lvl w:ilvl="0" w:tplc="699872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B087299"/>
    <w:multiLevelType w:val="hybridMultilevel"/>
    <w:tmpl w:val="5950AB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D296658"/>
    <w:multiLevelType w:val="hybridMultilevel"/>
    <w:tmpl w:val="EC9CCB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5177533">
    <w:abstractNumId w:val="8"/>
  </w:num>
  <w:num w:numId="2" w16cid:durableId="1304852929">
    <w:abstractNumId w:val="4"/>
  </w:num>
  <w:num w:numId="3" w16cid:durableId="2098940032">
    <w:abstractNumId w:val="0"/>
  </w:num>
  <w:num w:numId="4" w16cid:durableId="1467115640">
    <w:abstractNumId w:val="6"/>
  </w:num>
  <w:num w:numId="5" w16cid:durableId="351683413">
    <w:abstractNumId w:val="11"/>
  </w:num>
  <w:num w:numId="6" w16cid:durableId="985625222">
    <w:abstractNumId w:val="5"/>
  </w:num>
  <w:num w:numId="7" w16cid:durableId="1334526614">
    <w:abstractNumId w:val="7"/>
  </w:num>
  <w:num w:numId="8" w16cid:durableId="79566251">
    <w:abstractNumId w:val="12"/>
  </w:num>
  <w:num w:numId="9" w16cid:durableId="1518353458">
    <w:abstractNumId w:val="3"/>
  </w:num>
  <w:num w:numId="10" w16cid:durableId="1003628495">
    <w:abstractNumId w:val="10"/>
  </w:num>
  <w:num w:numId="11" w16cid:durableId="466708973">
    <w:abstractNumId w:val="9"/>
  </w:num>
  <w:num w:numId="12" w16cid:durableId="64495115">
    <w:abstractNumId w:val="2"/>
  </w:num>
  <w:num w:numId="13" w16cid:durableId="1205423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numRestart w:val="eachPage"/>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D58"/>
    <w:rsid w:val="0002586A"/>
    <w:rsid w:val="000303C9"/>
    <w:rsid w:val="00070B73"/>
    <w:rsid w:val="00183315"/>
    <w:rsid w:val="0019699D"/>
    <w:rsid w:val="001A6E70"/>
    <w:rsid w:val="001C1C5E"/>
    <w:rsid w:val="001F3E94"/>
    <w:rsid w:val="001F69CF"/>
    <w:rsid w:val="00220852"/>
    <w:rsid w:val="00227A1F"/>
    <w:rsid w:val="0025672B"/>
    <w:rsid w:val="002A3757"/>
    <w:rsid w:val="002E6C59"/>
    <w:rsid w:val="0031382F"/>
    <w:rsid w:val="003659CB"/>
    <w:rsid w:val="003B5B03"/>
    <w:rsid w:val="003D2137"/>
    <w:rsid w:val="00406CB2"/>
    <w:rsid w:val="00447D56"/>
    <w:rsid w:val="00465572"/>
    <w:rsid w:val="004773E6"/>
    <w:rsid w:val="00481450"/>
    <w:rsid w:val="005132FD"/>
    <w:rsid w:val="00514782"/>
    <w:rsid w:val="00543FD2"/>
    <w:rsid w:val="0054520D"/>
    <w:rsid w:val="00565E78"/>
    <w:rsid w:val="005666D5"/>
    <w:rsid w:val="005C0F41"/>
    <w:rsid w:val="005F1CDC"/>
    <w:rsid w:val="0063283B"/>
    <w:rsid w:val="00643600"/>
    <w:rsid w:val="00684ECE"/>
    <w:rsid w:val="0069750F"/>
    <w:rsid w:val="006D5A36"/>
    <w:rsid w:val="00731FBB"/>
    <w:rsid w:val="00755653"/>
    <w:rsid w:val="0076656A"/>
    <w:rsid w:val="007C1647"/>
    <w:rsid w:val="007F451E"/>
    <w:rsid w:val="00836576"/>
    <w:rsid w:val="008B21A8"/>
    <w:rsid w:val="00915FC9"/>
    <w:rsid w:val="00962359"/>
    <w:rsid w:val="00982EC1"/>
    <w:rsid w:val="009B4935"/>
    <w:rsid w:val="00A14559"/>
    <w:rsid w:val="00A346C5"/>
    <w:rsid w:val="00A41E7C"/>
    <w:rsid w:val="00A81356"/>
    <w:rsid w:val="00AD4101"/>
    <w:rsid w:val="00AF5ED9"/>
    <w:rsid w:val="00B17364"/>
    <w:rsid w:val="00B2782D"/>
    <w:rsid w:val="00B31264"/>
    <w:rsid w:val="00B32CCF"/>
    <w:rsid w:val="00B532AB"/>
    <w:rsid w:val="00B631B1"/>
    <w:rsid w:val="00B6504B"/>
    <w:rsid w:val="00BD07BA"/>
    <w:rsid w:val="00C10D58"/>
    <w:rsid w:val="00C33E27"/>
    <w:rsid w:val="00C663F9"/>
    <w:rsid w:val="00C77844"/>
    <w:rsid w:val="00C94CF1"/>
    <w:rsid w:val="00CB2151"/>
    <w:rsid w:val="00CB6D5C"/>
    <w:rsid w:val="00CC4DF6"/>
    <w:rsid w:val="00CF2AB1"/>
    <w:rsid w:val="00CF6757"/>
    <w:rsid w:val="00D1180A"/>
    <w:rsid w:val="00D27021"/>
    <w:rsid w:val="00DE4922"/>
    <w:rsid w:val="00DF4FE2"/>
    <w:rsid w:val="00E04A52"/>
    <w:rsid w:val="00EA21F7"/>
    <w:rsid w:val="00EE4C65"/>
    <w:rsid w:val="00F131DE"/>
    <w:rsid w:val="00F249FC"/>
    <w:rsid w:val="00F42E96"/>
    <w:rsid w:val="00F82AC2"/>
    <w:rsid w:val="00FA7A93"/>
    <w:rsid w:val="00FE0225"/>
    <w:rsid w:val="00FE3D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BB74E9"/>
  <w15:docId w15:val="{F1E58E01-A2A8-4F6B-9FB0-4E1E886E1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9" w:line="268" w:lineRule="auto"/>
      <w:ind w:left="10" w:right="2" w:hanging="10"/>
      <w:jc w:val="both"/>
    </w:pPr>
    <w:rPr>
      <w:rFonts w:ascii="Arial" w:eastAsia="Arial" w:hAnsi="Arial" w:cs="Arial"/>
      <w:color w:val="000000"/>
      <w:sz w:val="24"/>
    </w:rPr>
  </w:style>
  <w:style w:type="paragraph" w:styleId="Nagwek1">
    <w:name w:val="heading 1"/>
    <w:next w:val="Normalny"/>
    <w:link w:val="Nagwek1Znak"/>
    <w:uiPriority w:val="9"/>
    <w:qFormat/>
    <w:pPr>
      <w:keepNext/>
      <w:keepLines/>
      <w:numPr>
        <w:numId w:val="3"/>
      </w:numPr>
      <w:spacing w:after="0"/>
      <w:ind w:left="10" w:hanging="10"/>
      <w:outlineLvl w:val="0"/>
    </w:pPr>
    <w:rPr>
      <w:rFonts w:ascii="Arial" w:eastAsia="Arial" w:hAnsi="Arial" w:cs="Arial"/>
      <w:b/>
      <w:color w:val="000000"/>
      <w:sz w:val="28"/>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Arial" w:eastAsia="Arial" w:hAnsi="Arial" w:cs="Arial"/>
      <w:b/>
      <w:color w:val="000000"/>
      <w:sz w:val="28"/>
      <w:u w:val="single" w:color="000000"/>
    </w:rPr>
  </w:style>
  <w:style w:type="paragraph" w:customStyle="1" w:styleId="footnotedescription">
    <w:name w:val="footnote description"/>
    <w:next w:val="Normalny"/>
    <w:link w:val="footnotedescriptionChar"/>
    <w:hidden/>
    <w:pPr>
      <w:spacing w:after="0" w:line="261" w:lineRule="auto"/>
      <w:jc w:val="both"/>
    </w:pPr>
    <w:rPr>
      <w:rFonts w:ascii="Arial" w:eastAsia="Arial" w:hAnsi="Arial" w:cs="Arial"/>
      <w:i/>
      <w:color w:val="000000"/>
      <w:sz w:val="20"/>
    </w:rPr>
  </w:style>
  <w:style w:type="character" w:customStyle="1" w:styleId="footnotedescriptionChar">
    <w:name w:val="footnote description Char"/>
    <w:link w:val="footnotedescription"/>
    <w:rPr>
      <w:rFonts w:ascii="Arial" w:eastAsia="Arial" w:hAnsi="Arial" w:cs="Arial"/>
      <w:i/>
      <w:color w:val="000000"/>
      <w:sz w:val="20"/>
    </w:rPr>
  </w:style>
  <w:style w:type="character" w:customStyle="1" w:styleId="footnotemark">
    <w:name w:val="footnote mark"/>
    <w:hidden/>
    <w:rPr>
      <w:rFonts w:ascii="Arial" w:eastAsia="Arial" w:hAnsi="Arial" w:cs="Arial"/>
      <w:color w:val="000000"/>
      <w:sz w:val="20"/>
      <w:vertAlign w:val="superscript"/>
    </w:rPr>
  </w:style>
  <w:style w:type="paragraph" w:styleId="Akapitzlist">
    <w:name w:val="List Paragraph"/>
    <w:basedOn w:val="Normalny"/>
    <w:uiPriority w:val="34"/>
    <w:qFormat/>
    <w:rsid w:val="00B17364"/>
    <w:pPr>
      <w:ind w:left="720"/>
      <w:contextualSpacing/>
    </w:pPr>
  </w:style>
  <w:style w:type="character" w:styleId="Odwoaniedokomentarza">
    <w:name w:val="annotation reference"/>
    <w:basedOn w:val="Domylnaczcionkaakapitu"/>
    <w:uiPriority w:val="99"/>
    <w:semiHidden/>
    <w:unhideWhenUsed/>
    <w:rsid w:val="0069750F"/>
    <w:rPr>
      <w:sz w:val="16"/>
      <w:szCs w:val="16"/>
    </w:rPr>
  </w:style>
  <w:style w:type="paragraph" w:styleId="Tekstkomentarza">
    <w:name w:val="annotation text"/>
    <w:basedOn w:val="Normalny"/>
    <w:link w:val="TekstkomentarzaZnak"/>
    <w:uiPriority w:val="99"/>
    <w:semiHidden/>
    <w:unhideWhenUsed/>
    <w:rsid w:val="0069750F"/>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69750F"/>
    <w:rPr>
      <w:rFonts w:ascii="Arial" w:eastAsia="Arial" w:hAnsi="Arial" w:cs="Arial"/>
      <w:color w:val="000000"/>
      <w:sz w:val="20"/>
      <w:szCs w:val="20"/>
    </w:rPr>
  </w:style>
  <w:style w:type="paragraph" w:styleId="Tematkomentarza">
    <w:name w:val="annotation subject"/>
    <w:basedOn w:val="Tekstkomentarza"/>
    <w:next w:val="Tekstkomentarza"/>
    <w:link w:val="TematkomentarzaZnak"/>
    <w:uiPriority w:val="99"/>
    <w:semiHidden/>
    <w:unhideWhenUsed/>
    <w:rsid w:val="0069750F"/>
    <w:rPr>
      <w:b/>
      <w:bCs/>
    </w:rPr>
  </w:style>
  <w:style w:type="character" w:customStyle="1" w:styleId="TematkomentarzaZnak">
    <w:name w:val="Temat komentarza Znak"/>
    <w:basedOn w:val="TekstkomentarzaZnak"/>
    <w:link w:val="Tematkomentarza"/>
    <w:uiPriority w:val="99"/>
    <w:semiHidden/>
    <w:rsid w:val="0069750F"/>
    <w:rPr>
      <w:rFonts w:ascii="Arial" w:eastAsia="Arial" w:hAnsi="Arial" w:cs="Arial"/>
      <w:b/>
      <w:bCs/>
      <w:color w:val="000000"/>
      <w:sz w:val="20"/>
      <w:szCs w:val="20"/>
    </w:rPr>
  </w:style>
  <w:style w:type="paragraph" w:styleId="Poprawka">
    <w:name w:val="Revision"/>
    <w:hidden/>
    <w:uiPriority w:val="99"/>
    <w:semiHidden/>
    <w:rsid w:val="0069750F"/>
    <w:pPr>
      <w:spacing w:after="0" w:line="240" w:lineRule="auto"/>
    </w:pPr>
    <w:rPr>
      <w:rFonts w:ascii="Arial" w:eastAsia="Arial" w:hAnsi="Arial" w:cs="Arial"/>
      <w:color w:val="000000"/>
      <w:sz w:val="24"/>
    </w:rPr>
  </w:style>
  <w:style w:type="paragraph" w:styleId="Tekstdymka">
    <w:name w:val="Balloon Text"/>
    <w:basedOn w:val="Normalny"/>
    <w:link w:val="TekstdymkaZnak"/>
    <w:uiPriority w:val="99"/>
    <w:semiHidden/>
    <w:unhideWhenUsed/>
    <w:rsid w:val="00731FB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1FBB"/>
    <w:rPr>
      <w:rFonts w:ascii="Segoe UI" w:eastAsia="Arial" w:hAnsi="Segoe UI" w:cs="Segoe UI"/>
      <w:color w:val="000000"/>
      <w:sz w:val="18"/>
      <w:szCs w:val="18"/>
    </w:rPr>
  </w:style>
  <w:style w:type="paragraph" w:styleId="Nagwek">
    <w:name w:val="header"/>
    <w:basedOn w:val="Normalny"/>
    <w:link w:val="NagwekZnak"/>
    <w:uiPriority w:val="99"/>
    <w:unhideWhenUsed/>
    <w:rsid w:val="006D5A3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D5A36"/>
    <w:rPr>
      <w:rFonts w:ascii="Arial" w:eastAsia="Arial" w:hAnsi="Arial" w:cs="Arial"/>
      <w:color w:val="000000"/>
      <w:sz w:val="24"/>
    </w:rPr>
  </w:style>
  <w:style w:type="paragraph" w:styleId="Tekstprzypisudolnego">
    <w:name w:val="footnote text"/>
    <w:basedOn w:val="Normalny"/>
    <w:link w:val="TekstprzypisudolnegoZnak"/>
    <w:uiPriority w:val="99"/>
    <w:semiHidden/>
    <w:unhideWhenUsed/>
    <w:rsid w:val="003D2137"/>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3D2137"/>
    <w:rPr>
      <w:rFonts w:ascii="Arial" w:eastAsia="Arial" w:hAnsi="Arial" w:cs="Arial"/>
      <w:color w:val="000000"/>
      <w:sz w:val="20"/>
      <w:szCs w:val="20"/>
    </w:rPr>
  </w:style>
  <w:style w:type="character" w:styleId="Odwoanieprzypisudolnego">
    <w:name w:val="footnote reference"/>
    <w:basedOn w:val="Domylnaczcionkaakapitu"/>
    <w:uiPriority w:val="99"/>
    <w:semiHidden/>
    <w:unhideWhenUsed/>
    <w:rsid w:val="003D21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DA30AB-4AC7-411B-8769-A74550A3CF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6</Pages>
  <Words>2073</Words>
  <Characters>12440</Characters>
  <Application>Microsoft Office Word</Application>
  <DocSecurity>0</DocSecurity>
  <Lines>103</Lines>
  <Paragraphs>28</Paragraphs>
  <ScaleCrop>false</ScaleCrop>
  <HeadingPairs>
    <vt:vector size="2" baseType="variant">
      <vt:variant>
        <vt:lpstr>Tytuł</vt:lpstr>
      </vt:variant>
      <vt:variant>
        <vt:i4>1</vt:i4>
      </vt:variant>
    </vt:vector>
  </HeadingPairs>
  <TitlesOfParts>
    <vt:vector size="1" baseType="lpstr">
      <vt:lpstr>Katalog wydatków FELB.02.09-IZ.00-001_23</vt:lpstr>
    </vt:vector>
  </TitlesOfParts>
  <Company/>
  <LinksUpToDate>false</LinksUpToDate>
  <CharactersWithSpaces>14485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Katalog wydatków FELB.02.09-IZ.00-001_23</dc:title>
  <dc:subject/>
  <dc:creator>a.ogorzalek</dc:creator>
  <cp:keywords/>
  <cp:lastModifiedBy>Grycz Justyna</cp:lastModifiedBy>
  <cp:revision>40</cp:revision>
  <cp:lastPrinted>2024-03-18T06:58:00Z</cp:lastPrinted>
  <dcterms:created xsi:type="dcterms:W3CDTF">2023-09-15T08:28:00Z</dcterms:created>
  <dcterms:modified xsi:type="dcterms:W3CDTF">2024-07-05T08:01:00Z</dcterms:modified>
</cp:coreProperties>
</file>