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6ADFD" w14:textId="4342D37E" w:rsidR="00C10D58" w:rsidRPr="008522F8" w:rsidRDefault="00B32CCF" w:rsidP="0031382F">
      <w:pPr>
        <w:spacing w:after="139" w:line="259" w:lineRule="auto"/>
        <w:ind w:left="0" w:right="5" w:firstLine="0"/>
        <w:jc w:val="right"/>
        <w:rPr>
          <w:bCs/>
          <w:color w:val="auto"/>
          <w:sz w:val="20"/>
          <w:szCs w:val="20"/>
        </w:rPr>
      </w:pPr>
      <w:r w:rsidRPr="008522F8">
        <w:rPr>
          <w:bCs/>
          <w:color w:val="auto"/>
          <w:sz w:val="20"/>
          <w:szCs w:val="20"/>
        </w:rPr>
        <w:t xml:space="preserve">Załącznik nr 2 do Regulaminu </w:t>
      </w:r>
      <w:r w:rsidR="00DF4FE2" w:rsidRPr="008522F8">
        <w:rPr>
          <w:bCs/>
          <w:color w:val="auto"/>
          <w:sz w:val="20"/>
          <w:szCs w:val="20"/>
        </w:rPr>
        <w:t>wyboru projektów</w:t>
      </w:r>
      <w:r w:rsidRPr="008522F8">
        <w:rPr>
          <w:bCs/>
          <w:color w:val="auto"/>
          <w:sz w:val="20"/>
          <w:szCs w:val="20"/>
        </w:rPr>
        <w:t xml:space="preserve"> </w:t>
      </w:r>
    </w:p>
    <w:p w14:paraId="6FED775B" w14:textId="77777777" w:rsidR="00C10D58" w:rsidRPr="008522F8" w:rsidRDefault="00B32CCF">
      <w:pPr>
        <w:spacing w:after="139" w:line="259" w:lineRule="auto"/>
        <w:ind w:left="50" w:right="0" w:firstLine="0"/>
        <w:jc w:val="center"/>
        <w:rPr>
          <w:color w:val="auto"/>
        </w:rPr>
      </w:pPr>
      <w:r w:rsidRPr="008522F8">
        <w:rPr>
          <w:b/>
          <w:color w:val="auto"/>
        </w:rPr>
        <w:t xml:space="preserve"> </w:t>
      </w:r>
    </w:p>
    <w:p w14:paraId="7FDFD83C" w14:textId="62AB0F8D" w:rsidR="00643600" w:rsidRPr="00D5383B" w:rsidRDefault="00643600" w:rsidP="00643600">
      <w:pPr>
        <w:spacing w:after="232" w:line="259" w:lineRule="auto"/>
        <w:ind w:left="0" w:right="9" w:firstLine="0"/>
        <w:jc w:val="center"/>
        <w:rPr>
          <w:b/>
          <w:color w:val="auto"/>
          <w:sz w:val="28"/>
          <w:szCs w:val="28"/>
        </w:rPr>
      </w:pPr>
      <w:r w:rsidRPr="00D5383B">
        <w:rPr>
          <w:b/>
          <w:color w:val="auto"/>
          <w:sz w:val="28"/>
          <w:szCs w:val="28"/>
        </w:rPr>
        <w:t xml:space="preserve">Katalog wydatków kwalifikowalnych i niekwalifikowalnych </w:t>
      </w:r>
    </w:p>
    <w:p w14:paraId="2FA846B9" w14:textId="77777777" w:rsidR="00643600" w:rsidRPr="00D5383B" w:rsidRDefault="00643600" w:rsidP="00643600">
      <w:pPr>
        <w:spacing w:after="232" w:line="259" w:lineRule="auto"/>
        <w:ind w:left="0" w:right="9" w:firstLine="0"/>
        <w:jc w:val="center"/>
        <w:rPr>
          <w:b/>
          <w:color w:val="auto"/>
          <w:sz w:val="28"/>
          <w:szCs w:val="28"/>
        </w:rPr>
      </w:pPr>
    </w:p>
    <w:p w14:paraId="54CE6B5E" w14:textId="7954B671" w:rsidR="00643600" w:rsidRPr="00D5383B" w:rsidRDefault="00643600" w:rsidP="00655459">
      <w:pPr>
        <w:spacing w:after="232" w:line="276" w:lineRule="auto"/>
        <w:ind w:left="0" w:right="9" w:firstLine="0"/>
        <w:rPr>
          <w:b/>
          <w:bCs/>
          <w:color w:val="auto"/>
          <w:szCs w:val="24"/>
        </w:rPr>
      </w:pPr>
      <w:r w:rsidRPr="00D5383B">
        <w:rPr>
          <w:color w:val="auto"/>
          <w:szCs w:val="24"/>
        </w:rPr>
        <w:t xml:space="preserve">Działanie </w:t>
      </w:r>
      <w:r w:rsidR="00B32CCF" w:rsidRPr="00D5383B">
        <w:rPr>
          <w:b/>
          <w:bCs/>
          <w:color w:val="auto"/>
          <w:szCs w:val="24"/>
        </w:rPr>
        <w:t>FELB.02.</w:t>
      </w:r>
      <w:r w:rsidR="004A0890" w:rsidRPr="00D5383B">
        <w:rPr>
          <w:b/>
          <w:bCs/>
          <w:color w:val="auto"/>
          <w:szCs w:val="24"/>
        </w:rPr>
        <w:t>10</w:t>
      </w:r>
      <w:r w:rsidR="00B32CCF" w:rsidRPr="00D5383B">
        <w:rPr>
          <w:b/>
          <w:bCs/>
          <w:color w:val="auto"/>
          <w:szCs w:val="24"/>
        </w:rPr>
        <w:t xml:space="preserve"> </w:t>
      </w:r>
      <w:r w:rsidR="004A0890" w:rsidRPr="00D5383B">
        <w:rPr>
          <w:b/>
          <w:bCs/>
          <w:color w:val="auto"/>
          <w:szCs w:val="24"/>
        </w:rPr>
        <w:t>Ochrona przyrody</w:t>
      </w:r>
      <w:r w:rsidRPr="00D5383B">
        <w:rPr>
          <w:b/>
          <w:bCs/>
          <w:color w:val="auto"/>
          <w:szCs w:val="24"/>
        </w:rPr>
        <w:t>.</w:t>
      </w:r>
    </w:p>
    <w:p w14:paraId="33033837" w14:textId="5C8D21AE" w:rsidR="004A0890" w:rsidRPr="00D5383B" w:rsidRDefault="00B17364" w:rsidP="00655459">
      <w:pPr>
        <w:spacing w:after="0" w:line="276" w:lineRule="auto"/>
        <w:ind w:left="0" w:right="9" w:firstLine="0"/>
        <w:rPr>
          <w:b/>
          <w:bCs/>
          <w:color w:val="auto"/>
          <w:szCs w:val="24"/>
        </w:rPr>
      </w:pPr>
      <w:r w:rsidRPr="00D5383B">
        <w:rPr>
          <w:b/>
          <w:bCs/>
          <w:color w:val="auto"/>
          <w:szCs w:val="24"/>
        </w:rPr>
        <w:t>TYP</w:t>
      </w:r>
      <w:r w:rsidR="004A0890" w:rsidRPr="00D5383B">
        <w:rPr>
          <w:b/>
          <w:bCs/>
          <w:color w:val="auto"/>
          <w:szCs w:val="24"/>
        </w:rPr>
        <w:t>Y</w:t>
      </w:r>
      <w:r w:rsidR="00643600" w:rsidRPr="00D5383B">
        <w:rPr>
          <w:b/>
          <w:bCs/>
          <w:color w:val="auto"/>
          <w:szCs w:val="24"/>
        </w:rPr>
        <w:t xml:space="preserve"> </w:t>
      </w:r>
      <w:r w:rsidR="004A0890" w:rsidRPr="00D5383B">
        <w:rPr>
          <w:b/>
          <w:bCs/>
          <w:color w:val="auto"/>
          <w:szCs w:val="24"/>
        </w:rPr>
        <w:t>P</w:t>
      </w:r>
      <w:r w:rsidR="00643600" w:rsidRPr="00D5383B">
        <w:rPr>
          <w:b/>
          <w:bCs/>
          <w:color w:val="auto"/>
          <w:szCs w:val="24"/>
        </w:rPr>
        <w:t>rojektu</w:t>
      </w:r>
      <w:r w:rsidR="004A0890" w:rsidRPr="00D5383B">
        <w:rPr>
          <w:b/>
          <w:bCs/>
          <w:color w:val="auto"/>
          <w:szCs w:val="24"/>
        </w:rPr>
        <w:t>:</w:t>
      </w:r>
    </w:p>
    <w:p w14:paraId="31075CC5" w14:textId="3EBFFDD4" w:rsidR="004A0890" w:rsidRPr="00D5383B" w:rsidRDefault="004A0890" w:rsidP="00655459">
      <w:pPr>
        <w:spacing w:after="0" w:line="276" w:lineRule="auto"/>
        <w:ind w:right="6"/>
        <w:rPr>
          <w:b/>
          <w:bCs/>
          <w:color w:val="auto"/>
          <w:szCs w:val="24"/>
        </w:rPr>
      </w:pPr>
      <w:r w:rsidRPr="00D5383B">
        <w:rPr>
          <w:b/>
          <w:bCs/>
          <w:color w:val="auto"/>
          <w:szCs w:val="24"/>
        </w:rPr>
        <w:t>Typ I Wdrażanie zapisów zatwierdzonych dokumentów strategicznych i</w:t>
      </w:r>
      <w:r w:rsidR="005A4B49">
        <w:rPr>
          <w:b/>
          <w:bCs/>
          <w:color w:val="auto"/>
          <w:szCs w:val="24"/>
        </w:rPr>
        <w:t> </w:t>
      </w:r>
      <w:r w:rsidRPr="00D5383B">
        <w:rPr>
          <w:b/>
          <w:bCs/>
          <w:color w:val="auto"/>
          <w:szCs w:val="24"/>
        </w:rPr>
        <w:t xml:space="preserve">planistycznych z zakresu ochrony przyrody - wsparcie parków krajobrazowych, rezerwatów i obszarów Natura 2000, komplementarnie do wsparcia na poziomie krajowym. </w:t>
      </w:r>
    </w:p>
    <w:p w14:paraId="6BE0F901" w14:textId="5C279337" w:rsidR="00643600" w:rsidRDefault="004A0890" w:rsidP="00655459">
      <w:pPr>
        <w:spacing w:after="62" w:line="276" w:lineRule="auto"/>
        <w:ind w:right="6"/>
        <w:rPr>
          <w:b/>
          <w:bCs/>
          <w:color w:val="auto"/>
          <w:szCs w:val="24"/>
        </w:rPr>
      </w:pPr>
      <w:r w:rsidRPr="00D5383B">
        <w:rPr>
          <w:b/>
          <w:bCs/>
          <w:color w:val="auto"/>
          <w:szCs w:val="24"/>
        </w:rPr>
        <w:t>Typ II Opracowanie dokumentów planistycznych dla obszarów chronionych - parki krajobrazowe (również te pokrywające się z obszarami Natura 2000) i</w:t>
      </w:r>
      <w:r w:rsidR="005A4B49">
        <w:rPr>
          <w:b/>
          <w:bCs/>
          <w:color w:val="auto"/>
          <w:szCs w:val="24"/>
        </w:rPr>
        <w:t> </w:t>
      </w:r>
      <w:r w:rsidRPr="00D5383B">
        <w:rPr>
          <w:b/>
          <w:bCs/>
          <w:color w:val="auto"/>
          <w:szCs w:val="24"/>
        </w:rPr>
        <w:t>rezerwaty (nie pokrywające się z obszarami Natura 2000).</w:t>
      </w:r>
    </w:p>
    <w:p w14:paraId="1A323F7D" w14:textId="77777777" w:rsidR="00B74D34" w:rsidRPr="00B74D34" w:rsidRDefault="00B74D34" w:rsidP="00655459">
      <w:pPr>
        <w:spacing w:after="62" w:line="276" w:lineRule="auto"/>
        <w:ind w:right="6"/>
        <w:rPr>
          <w:b/>
          <w:bCs/>
          <w:color w:val="auto"/>
          <w:szCs w:val="24"/>
        </w:rPr>
      </w:pPr>
    </w:p>
    <w:p w14:paraId="36548129" w14:textId="76663DCD" w:rsidR="00C10D58" w:rsidRPr="00E139CB" w:rsidRDefault="00B32CCF" w:rsidP="00655459">
      <w:pPr>
        <w:spacing w:after="120" w:line="276" w:lineRule="auto"/>
        <w:ind w:left="0" w:right="0" w:firstLine="0"/>
        <w:rPr>
          <w:color w:val="auto"/>
          <w:szCs w:val="24"/>
        </w:rPr>
      </w:pPr>
      <w:r w:rsidRPr="00E139CB">
        <w:rPr>
          <w:color w:val="auto"/>
          <w:szCs w:val="24"/>
        </w:rPr>
        <w:t xml:space="preserve">Początkiem okresu kwalifikowalności wydatków jest </w:t>
      </w:r>
      <w:r w:rsidRPr="00E139CB">
        <w:rPr>
          <w:b/>
          <w:color w:val="auto"/>
          <w:szCs w:val="24"/>
          <w:u w:val="single" w:color="000000"/>
        </w:rPr>
        <w:t>1 stycznia 2021 r.</w:t>
      </w:r>
      <w:r w:rsidRPr="00E139CB">
        <w:rPr>
          <w:color w:val="auto"/>
          <w:szCs w:val="24"/>
        </w:rPr>
        <w:t xml:space="preserve"> W</w:t>
      </w:r>
      <w:r w:rsidR="006D5A36" w:rsidRPr="00E139CB">
        <w:rPr>
          <w:color w:val="auto"/>
          <w:szCs w:val="24"/>
        </w:rPr>
        <w:t> </w:t>
      </w:r>
      <w:r w:rsidRPr="00E139CB">
        <w:rPr>
          <w:color w:val="auto"/>
          <w:szCs w:val="24"/>
        </w:rPr>
        <w:t xml:space="preserve"> przypadku projektów rozpoczętych przed początkową datą kwalifikowalności wydatków, do współfinansowania kwalifikują się jedynie wydatki faktycznie poniesione od tej daty. Wydatki poniesione wcześniej nie stanowią wydatku kwalifikowalnego. Końcową data kwalifikowalności wydatków jest dzień </w:t>
      </w:r>
      <w:r w:rsidRPr="00E139CB">
        <w:rPr>
          <w:b/>
          <w:color w:val="auto"/>
          <w:szCs w:val="24"/>
          <w:u w:val="single" w:color="000000"/>
        </w:rPr>
        <w:t>31 grudnia 2029 r.</w:t>
      </w:r>
      <w:r w:rsidRPr="00E139CB">
        <w:rPr>
          <w:b/>
          <w:color w:val="auto"/>
          <w:szCs w:val="24"/>
        </w:rPr>
        <w:t xml:space="preserve"> </w:t>
      </w:r>
    </w:p>
    <w:p w14:paraId="6584ECEF" w14:textId="56EF60E3" w:rsidR="00B74D34" w:rsidRPr="003076B4" w:rsidRDefault="00B74D34" w:rsidP="00B74D34">
      <w:pPr>
        <w:spacing w:after="120"/>
        <w:ind w:left="-15" w:firstLine="708"/>
        <w:rPr>
          <w:szCs w:val="24"/>
          <w:u w:val="single" w:color="000000"/>
        </w:rPr>
      </w:pPr>
      <w:r w:rsidRPr="003076B4">
        <w:rPr>
          <w:szCs w:val="24"/>
        </w:rPr>
        <w:t>Dofinansowania nie może uzyskać projekt, który został fizycznie ukończony (w</w:t>
      </w:r>
      <w:r w:rsidR="005A4B49">
        <w:rPr>
          <w:szCs w:val="24"/>
        </w:rPr>
        <w:t> </w:t>
      </w:r>
      <w:r w:rsidRPr="003076B4">
        <w:rPr>
          <w:szCs w:val="24"/>
        </w:rPr>
        <w:t>przypadku robót budowlanych) lub w pełni wdrożony (w przypadku dostaw i</w:t>
      </w:r>
      <w:r>
        <w:rPr>
          <w:szCs w:val="24"/>
        </w:rPr>
        <w:t xml:space="preserve"> </w:t>
      </w:r>
      <w:r w:rsidRPr="003076B4">
        <w:rPr>
          <w:szCs w:val="24"/>
        </w:rPr>
        <w:t xml:space="preserve">usług) </w:t>
      </w:r>
      <w:r w:rsidRPr="0081273C">
        <w:rPr>
          <w:szCs w:val="24"/>
          <w:u w:val="single" w:color="000000"/>
        </w:rPr>
        <w:t>przed złożeniem wniosku o  dofinansowanie</w:t>
      </w:r>
      <w:r w:rsidRPr="0081273C">
        <w:rPr>
          <w:szCs w:val="24"/>
        </w:rPr>
        <w:t xml:space="preserve"> w ramach ogłoszonego naboru, niezależnie od tego, czy wszystkie powiązane płatności zostały dokonane przez Beneficjenta. </w:t>
      </w:r>
    </w:p>
    <w:p w14:paraId="62B6D17C" w14:textId="5CABE9C8" w:rsidR="00C10D58" w:rsidRPr="00E139CB" w:rsidRDefault="00B32CCF" w:rsidP="00655459">
      <w:pPr>
        <w:spacing w:line="276" w:lineRule="auto"/>
        <w:ind w:left="-5" w:right="0"/>
        <w:rPr>
          <w:color w:val="auto"/>
          <w:szCs w:val="24"/>
        </w:rPr>
      </w:pPr>
      <w:r w:rsidRPr="00E139CB">
        <w:rPr>
          <w:color w:val="FF0000"/>
          <w:szCs w:val="24"/>
        </w:rPr>
        <w:t xml:space="preserve"> </w:t>
      </w:r>
      <w:r w:rsidRPr="00E139CB">
        <w:rPr>
          <w:b/>
          <w:color w:val="auto"/>
          <w:szCs w:val="24"/>
          <w:u w:val="single" w:color="000000"/>
        </w:rPr>
        <w:t>Ocena kwalifikowalności wydatku</w:t>
      </w:r>
      <w:r w:rsidRPr="00E139CB">
        <w:rPr>
          <w:color w:val="auto"/>
          <w:szCs w:val="24"/>
        </w:rPr>
        <w:t xml:space="preserve"> polega na analizie jego poniesienia zgodnie</w:t>
      </w:r>
      <w:r w:rsidR="006D5A36" w:rsidRPr="00E139CB">
        <w:rPr>
          <w:color w:val="auto"/>
          <w:szCs w:val="24"/>
        </w:rPr>
        <w:t xml:space="preserve"> </w:t>
      </w:r>
      <w:r w:rsidRPr="00E139CB">
        <w:rPr>
          <w:color w:val="auto"/>
          <w:szCs w:val="24"/>
        </w:rPr>
        <w:t>z</w:t>
      </w:r>
      <w:r w:rsidR="006D5A36" w:rsidRPr="00E139CB">
        <w:rPr>
          <w:color w:val="auto"/>
          <w:szCs w:val="24"/>
        </w:rPr>
        <w:t> </w:t>
      </w:r>
      <w:r w:rsidRPr="00E139CB">
        <w:rPr>
          <w:color w:val="auto"/>
          <w:szCs w:val="24"/>
        </w:rPr>
        <w:t xml:space="preserve"> obowiązującymi przepisami prawa unijnego i prawa krajowego, umową o</w:t>
      </w:r>
      <w:r w:rsidR="006D5A36" w:rsidRPr="00E139CB">
        <w:rPr>
          <w:color w:val="auto"/>
          <w:szCs w:val="24"/>
        </w:rPr>
        <w:t> </w:t>
      </w:r>
      <w:r w:rsidRPr="00E139CB">
        <w:rPr>
          <w:color w:val="auto"/>
          <w:szCs w:val="24"/>
        </w:rPr>
        <w:t xml:space="preserve"> dofinansowanie/ decyzją/porozumieniem, </w:t>
      </w:r>
      <w:r w:rsidRPr="00E139CB">
        <w:rPr>
          <w:i/>
          <w:color w:val="auto"/>
          <w:szCs w:val="24"/>
        </w:rPr>
        <w:t>Wytycznymi Minister Funduszy i Polityki Regionalnej dotyczące kwalifikowalności wydatków na lata 2021-2027</w:t>
      </w:r>
      <w:r w:rsidRPr="00E139CB">
        <w:rPr>
          <w:color w:val="auto"/>
          <w:szCs w:val="24"/>
        </w:rPr>
        <w:t xml:space="preserve"> z 18 listopada 2022 r. (zwanymi dalej Wytycznymi) oraz innymi dokumentami, do których stosowania Beneficjent zobowiązał się w umowie  o dofinansowanie/decyzji/ porozumieniu.  </w:t>
      </w:r>
    </w:p>
    <w:p w14:paraId="1A8F803B" w14:textId="4A348FFF" w:rsidR="00C10D58" w:rsidRPr="00E139CB" w:rsidRDefault="00B32CCF" w:rsidP="00655459">
      <w:pPr>
        <w:spacing w:line="276" w:lineRule="auto"/>
        <w:ind w:left="-5" w:right="0"/>
        <w:rPr>
          <w:color w:val="auto"/>
          <w:szCs w:val="24"/>
        </w:rPr>
      </w:pPr>
      <w:r w:rsidRPr="00E139CB">
        <w:rPr>
          <w:color w:val="auto"/>
          <w:szCs w:val="24"/>
        </w:rPr>
        <w:t xml:space="preserve"> Na etapie oceny formalnej oraz oceny merytorycznej projektu o dofinansowanie dokonywana jest ocena kwalifikowalności </w:t>
      </w:r>
      <w:r w:rsidRPr="00E139CB">
        <w:rPr>
          <w:b/>
          <w:color w:val="auto"/>
          <w:szCs w:val="24"/>
          <w:u w:val="single" w:color="000000"/>
        </w:rPr>
        <w:t>planowanych</w:t>
      </w:r>
      <w:r w:rsidRPr="00E139CB">
        <w:rPr>
          <w:color w:val="auto"/>
          <w:szCs w:val="24"/>
        </w:rPr>
        <w:t xml:space="preserve"> wydatków. </w:t>
      </w:r>
      <w:r w:rsidRPr="00E139CB">
        <w:rPr>
          <w:color w:val="auto"/>
          <w:szCs w:val="24"/>
          <w:u w:val="single" w:color="000000"/>
        </w:rPr>
        <w:t>Pozytywna ocena i przyznanie dofinansowania</w:t>
      </w:r>
      <w:r w:rsidRPr="00E139CB">
        <w:rPr>
          <w:color w:val="auto"/>
          <w:szCs w:val="24"/>
        </w:rPr>
        <w:t xml:space="preserve"> </w:t>
      </w:r>
      <w:r w:rsidRPr="00E139CB">
        <w:rPr>
          <w:color w:val="auto"/>
          <w:szCs w:val="24"/>
          <w:u w:val="single" w:color="000000"/>
        </w:rPr>
        <w:t>na realizację projektu i podpisanie z Beneficjentem umowy o dofinansowanie nie oznacza, że wszystkie</w:t>
      </w:r>
      <w:r w:rsidRPr="00E139CB">
        <w:rPr>
          <w:color w:val="auto"/>
          <w:szCs w:val="24"/>
        </w:rPr>
        <w:t xml:space="preserve"> </w:t>
      </w:r>
      <w:r w:rsidRPr="00E139CB">
        <w:rPr>
          <w:color w:val="auto"/>
          <w:szCs w:val="24"/>
          <w:u w:val="single" w:color="000000"/>
        </w:rPr>
        <w:t>wydatki, które Beneficjent przedstawi we wniosku o płatność w trakcie realizacji projektu na pewno będą</w:t>
      </w:r>
      <w:r w:rsidRPr="00E139CB">
        <w:rPr>
          <w:color w:val="auto"/>
          <w:szCs w:val="24"/>
        </w:rPr>
        <w:t xml:space="preserve"> </w:t>
      </w:r>
      <w:r w:rsidRPr="00E139CB">
        <w:rPr>
          <w:color w:val="auto"/>
          <w:szCs w:val="24"/>
          <w:u w:val="single" w:color="000000"/>
        </w:rPr>
        <w:t>zrefundowane lub rozliczone (w przypadku zaliczek).</w:t>
      </w:r>
      <w:r w:rsidRPr="00E139CB">
        <w:rPr>
          <w:color w:val="auto"/>
          <w:szCs w:val="24"/>
        </w:rPr>
        <w:t xml:space="preserve"> Kwalifikowalność wydatków jest również oceniana w trakcie realizacji projektu, kiedy Beneficjent przedkłada kolejne </w:t>
      </w:r>
      <w:r w:rsidRPr="00E139CB">
        <w:rPr>
          <w:color w:val="auto"/>
          <w:szCs w:val="24"/>
        </w:rPr>
        <w:lastRenderedPageBreak/>
        <w:t>wnioski o płatność oraz podczas kontroli projektu. Ocena kwalifikowalności poniesionych wydatków jest prowadzona także  po zakończeniu realizacji projektu – w</w:t>
      </w:r>
      <w:r w:rsidR="006D5A36" w:rsidRPr="00E139CB">
        <w:rPr>
          <w:color w:val="auto"/>
          <w:szCs w:val="24"/>
        </w:rPr>
        <w:t> </w:t>
      </w:r>
      <w:r w:rsidRPr="00E139CB">
        <w:rPr>
          <w:color w:val="auto"/>
          <w:szCs w:val="24"/>
        </w:rPr>
        <w:t xml:space="preserve"> zakresie obowiązków nałożonych na Beneficjenta Umową  o dofinansowanie oraz wynikających z przepisów prawa. </w:t>
      </w:r>
    </w:p>
    <w:p w14:paraId="0E37066B" w14:textId="77777777" w:rsidR="00C10D58" w:rsidRPr="00E139CB" w:rsidRDefault="00B32CCF" w:rsidP="00655459">
      <w:pPr>
        <w:spacing w:line="276" w:lineRule="auto"/>
        <w:ind w:left="718" w:right="0"/>
        <w:rPr>
          <w:color w:val="auto"/>
          <w:szCs w:val="24"/>
        </w:rPr>
      </w:pPr>
      <w:r w:rsidRPr="00E139CB">
        <w:rPr>
          <w:color w:val="auto"/>
          <w:szCs w:val="24"/>
        </w:rPr>
        <w:t xml:space="preserve">W trakcie realizacji projektu sprawdzeniu podlega </w:t>
      </w:r>
      <w:r w:rsidRPr="00E139CB">
        <w:rPr>
          <w:color w:val="auto"/>
          <w:szCs w:val="24"/>
          <w:u w:val="single" w:color="000000"/>
        </w:rPr>
        <w:t>w szczególności:</w:t>
      </w:r>
      <w:r w:rsidRPr="00E139CB">
        <w:rPr>
          <w:color w:val="auto"/>
          <w:szCs w:val="24"/>
        </w:rPr>
        <w:t xml:space="preserve"> </w:t>
      </w:r>
    </w:p>
    <w:p w14:paraId="3F111B73" w14:textId="77777777"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 xml:space="preserve">jest zgodny z przepisami prawa, </w:t>
      </w:r>
    </w:p>
    <w:p w14:paraId="1C2048FC" w14:textId="5D850A84"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jest zgodny z umową o dofinansowanie projektu i Wytycznymi oraz innymi procedurami,  do stosowania których beneficjent zobowiązał się w umowie o</w:t>
      </w:r>
      <w:r w:rsidR="006D5A36" w:rsidRPr="00E139CB">
        <w:rPr>
          <w:color w:val="auto"/>
          <w:szCs w:val="24"/>
        </w:rPr>
        <w:t> </w:t>
      </w:r>
      <w:r w:rsidRPr="00E139CB">
        <w:rPr>
          <w:color w:val="auto"/>
          <w:szCs w:val="24"/>
        </w:rPr>
        <w:t xml:space="preserve"> dofinansowanie projektu, </w:t>
      </w:r>
    </w:p>
    <w:p w14:paraId="65B230C9" w14:textId="77777777"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 xml:space="preserve">został faktycznie poniesiony zgodnie z zasadą określoną w podrozdziale 3.1, Wytycznych w okresie wskazanym w umowie o dofinansowanie projektu,  </w:t>
      </w:r>
    </w:p>
    <w:p w14:paraId="6F408193" w14:textId="77777777"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 xml:space="preserve">spełnia warunki określone w programie i SZOP oraz regulaminie wyboru projektów, </w:t>
      </w:r>
    </w:p>
    <w:p w14:paraId="1E4545E2" w14:textId="53F164D6"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jest niezbędny do realizacji celów projektu i został poniesiony w związku z</w:t>
      </w:r>
      <w:r w:rsidR="006D5A36" w:rsidRPr="00E139CB">
        <w:rPr>
          <w:color w:val="auto"/>
          <w:szCs w:val="24"/>
        </w:rPr>
        <w:t> </w:t>
      </w:r>
      <w:r w:rsidRPr="00E139CB">
        <w:rPr>
          <w:color w:val="auto"/>
          <w:szCs w:val="24"/>
        </w:rPr>
        <w:t xml:space="preserve"> realizacją projektu, </w:t>
      </w:r>
    </w:p>
    <w:p w14:paraId="1AAB678C" w14:textId="77777777"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 xml:space="preserve">został dokonany w sposób przejrzysty, racjonalny i efektywny, z zachowaniem zasad uzyskiwania najlepszych efektów z danych nakładów, </w:t>
      </w:r>
    </w:p>
    <w:p w14:paraId="58712791" w14:textId="6EB63B62"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został należycie udokumentowany zgodnie z wymogami określonymi w</w:t>
      </w:r>
      <w:r w:rsidR="006D5A36" w:rsidRPr="00E139CB">
        <w:rPr>
          <w:color w:val="auto"/>
          <w:szCs w:val="24"/>
        </w:rPr>
        <w:t> </w:t>
      </w:r>
      <w:r w:rsidRPr="00E139CB">
        <w:rPr>
          <w:color w:val="auto"/>
          <w:szCs w:val="24"/>
        </w:rPr>
        <w:t xml:space="preserve"> Wytycznych oraz z zasadami określonymi przez IZ, </w:t>
      </w:r>
    </w:p>
    <w:p w14:paraId="4D052FB3" w14:textId="77777777" w:rsidR="00B17364" w:rsidRPr="00E139CB" w:rsidRDefault="00B32CCF" w:rsidP="00655459">
      <w:pPr>
        <w:pStyle w:val="Akapitzlist"/>
        <w:numPr>
          <w:ilvl w:val="0"/>
          <w:numId w:val="5"/>
        </w:numPr>
        <w:spacing w:line="276" w:lineRule="auto"/>
        <w:ind w:right="0"/>
        <w:rPr>
          <w:color w:val="auto"/>
          <w:szCs w:val="24"/>
        </w:rPr>
      </w:pPr>
      <w:r w:rsidRPr="00E139CB">
        <w:rPr>
          <w:color w:val="auto"/>
          <w:szCs w:val="24"/>
        </w:rPr>
        <w:t xml:space="preserve">został rozliczony we wniosku beneficjenta o płatność, </w:t>
      </w:r>
    </w:p>
    <w:p w14:paraId="1351D065" w14:textId="7302D321" w:rsidR="00C10D58" w:rsidRPr="005A4B49" w:rsidRDefault="00B32CCF" w:rsidP="005A4B49">
      <w:pPr>
        <w:pStyle w:val="Akapitzlist"/>
        <w:numPr>
          <w:ilvl w:val="0"/>
          <w:numId w:val="5"/>
        </w:numPr>
        <w:spacing w:line="276" w:lineRule="auto"/>
        <w:ind w:right="0"/>
        <w:rPr>
          <w:color w:val="auto"/>
          <w:szCs w:val="24"/>
        </w:rPr>
      </w:pPr>
      <w:r w:rsidRPr="00E139CB">
        <w:rPr>
          <w:color w:val="auto"/>
          <w:szCs w:val="24"/>
        </w:rPr>
        <w:t>dotyczy towarów dostarczonych lub usług wykonanych lub robót budowlanych zrealizowanych</w:t>
      </w:r>
      <w:r w:rsidR="00FA7A93" w:rsidRPr="00E139CB">
        <w:rPr>
          <w:color w:val="auto"/>
          <w:szCs w:val="24"/>
        </w:rPr>
        <w:t>.</w:t>
      </w:r>
    </w:p>
    <w:p w14:paraId="44B45CF3" w14:textId="77777777" w:rsidR="00C10D58" w:rsidRPr="00E139CB" w:rsidRDefault="00B32CCF" w:rsidP="00655459">
      <w:pPr>
        <w:spacing w:after="0" w:line="276" w:lineRule="auto"/>
        <w:ind w:left="0" w:right="1" w:firstLine="693"/>
        <w:rPr>
          <w:color w:val="auto"/>
          <w:szCs w:val="24"/>
        </w:rPr>
      </w:pPr>
      <w:r w:rsidRPr="00E139CB">
        <w:rPr>
          <w:color w:val="auto"/>
          <w:szCs w:val="24"/>
        </w:rPr>
        <w:t xml:space="preserve">Ponadto należy pamiętać o tym, że przyznane dofinansowanie to środki publiczne. Wobec tego </w:t>
      </w:r>
      <w:r w:rsidRPr="00E139CB">
        <w:rPr>
          <w:color w:val="auto"/>
          <w:szCs w:val="24"/>
          <w:u w:val="single" w:color="000000"/>
        </w:rPr>
        <w:t>Beneficjenci zobowiązani są do stosowania ustawy Prawo zamówień publicznych albo do dokonania</w:t>
      </w:r>
      <w:r w:rsidRPr="00E139CB">
        <w:rPr>
          <w:color w:val="auto"/>
          <w:szCs w:val="24"/>
        </w:rPr>
        <w:t xml:space="preserve"> </w:t>
      </w:r>
      <w:r w:rsidRPr="00E139CB">
        <w:rPr>
          <w:color w:val="auto"/>
          <w:szCs w:val="24"/>
          <w:u w:val="single" w:color="000000"/>
        </w:rPr>
        <w:t>wyboru wykonawców zgodnie z zasadą konkurencyjności.</w:t>
      </w:r>
      <w:r w:rsidRPr="00E139CB">
        <w:rPr>
          <w:color w:val="auto"/>
          <w:szCs w:val="24"/>
        </w:rPr>
        <w:t xml:space="preserve"> </w:t>
      </w:r>
    </w:p>
    <w:p w14:paraId="565EC133" w14:textId="6011100B" w:rsidR="00C10D58" w:rsidRPr="00E139CB" w:rsidRDefault="00B32CCF" w:rsidP="00655459">
      <w:pPr>
        <w:spacing w:line="276" w:lineRule="auto"/>
        <w:ind w:left="-5" w:right="0" w:firstLine="698"/>
        <w:rPr>
          <w:color w:val="auto"/>
          <w:szCs w:val="24"/>
        </w:rPr>
      </w:pPr>
      <w:r w:rsidRPr="00E139CB">
        <w:rPr>
          <w:color w:val="auto"/>
          <w:szCs w:val="24"/>
        </w:rPr>
        <w:t xml:space="preserve">Co do zasady wydatkiem kwalifikowanym jest wydatek poniesiony </w:t>
      </w:r>
      <w:r w:rsidRPr="00E139CB">
        <w:rPr>
          <w:color w:val="auto"/>
          <w:szCs w:val="24"/>
          <w:u w:val="single" w:color="000000"/>
        </w:rPr>
        <w:t>przez Beneficjenta</w:t>
      </w:r>
      <w:r w:rsidRPr="00E139CB">
        <w:rPr>
          <w:color w:val="auto"/>
          <w:szCs w:val="24"/>
        </w:rPr>
        <w:t>, z którym podpisano umowę o dofinansowanie/decyzję/porozumienie. W</w:t>
      </w:r>
      <w:r w:rsidR="006D5A36" w:rsidRPr="00E139CB">
        <w:rPr>
          <w:color w:val="auto"/>
          <w:szCs w:val="24"/>
        </w:rPr>
        <w:t> </w:t>
      </w:r>
      <w:r w:rsidRPr="00E139CB">
        <w:rPr>
          <w:color w:val="auto"/>
          <w:szCs w:val="24"/>
        </w:rPr>
        <w:t xml:space="preserve"> przypadku, gdy projekt realizowany jest w partnerstwie wydatek </w:t>
      </w:r>
      <w:r w:rsidRPr="00E139CB">
        <w:rPr>
          <w:color w:val="auto"/>
          <w:szCs w:val="24"/>
          <w:u w:val="single" w:color="000000"/>
        </w:rPr>
        <w:t>może być poniesiony przez Partnera</w:t>
      </w:r>
      <w:r w:rsidRPr="00E139CB">
        <w:rPr>
          <w:color w:val="auto"/>
          <w:szCs w:val="24"/>
        </w:rPr>
        <w:t xml:space="preserve"> (jeśli tak stanowi umowa/porozumienie o partnerstwie). </w:t>
      </w:r>
    </w:p>
    <w:p w14:paraId="5E6D54DD" w14:textId="235D89EA" w:rsidR="005A4B49" w:rsidRDefault="00B32CCF" w:rsidP="005A4B49">
      <w:pPr>
        <w:spacing w:line="276" w:lineRule="auto"/>
        <w:ind w:left="-15" w:right="0" w:firstLine="708"/>
        <w:rPr>
          <w:color w:val="auto"/>
          <w:szCs w:val="24"/>
        </w:rPr>
      </w:pPr>
      <w:r w:rsidRPr="00E139CB">
        <w:rPr>
          <w:color w:val="auto"/>
          <w:szCs w:val="24"/>
        </w:rPr>
        <w:t>Katalog wydatków kwalifikowalnych jest katalogiem zamkniętym natomiast katalog wydatków niekwalifikowalnych obejmuje pozostałe koszty poniesione w</w:t>
      </w:r>
      <w:r w:rsidR="006D5A36" w:rsidRPr="00E139CB">
        <w:rPr>
          <w:color w:val="auto"/>
          <w:szCs w:val="24"/>
        </w:rPr>
        <w:t> </w:t>
      </w:r>
      <w:r w:rsidRPr="00E139CB">
        <w:rPr>
          <w:color w:val="auto"/>
          <w:szCs w:val="24"/>
        </w:rPr>
        <w:t xml:space="preserve"> związku z realizacją przedsięwzięcia, które  nie zostały wymienione w katalogu kosztów kwalifikowalnych. </w:t>
      </w:r>
    </w:p>
    <w:p w14:paraId="455CF437" w14:textId="73A6BB53" w:rsidR="004A0890" w:rsidRPr="00D5383B" w:rsidRDefault="00B32CCF" w:rsidP="005A4B49">
      <w:pPr>
        <w:spacing w:line="276" w:lineRule="auto"/>
        <w:ind w:left="-15" w:right="0" w:firstLine="708"/>
        <w:rPr>
          <w:b/>
          <w:bCs/>
          <w:color w:val="auto"/>
          <w:szCs w:val="24"/>
        </w:rPr>
      </w:pPr>
      <w:r w:rsidRPr="00E139CB">
        <w:rPr>
          <w:color w:val="auto"/>
          <w:szCs w:val="24"/>
        </w:rPr>
        <w:t xml:space="preserve">Niniejszy załącznik do Regulaminu </w:t>
      </w:r>
      <w:r w:rsidR="00DF4FE2" w:rsidRPr="00E139CB">
        <w:rPr>
          <w:color w:val="auto"/>
          <w:szCs w:val="24"/>
        </w:rPr>
        <w:t>wyboru projektów</w:t>
      </w:r>
      <w:r w:rsidRPr="00E139CB">
        <w:rPr>
          <w:color w:val="auto"/>
          <w:szCs w:val="24"/>
        </w:rPr>
        <w:t xml:space="preserve"> określa katalog wydatków kwalifikowalnych  w projektach </w:t>
      </w:r>
      <w:r w:rsidRPr="00D5383B">
        <w:rPr>
          <w:color w:val="auto"/>
          <w:szCs w:val="24"/>
        </w:rPr>
        <w:t xml:space="preserve">realizowanych w ramach Priorytet FELB.02 Fundusze europejskie na zielony rozwój lubuskiego </w:t>
      </w:r>
      <w:r w:rsidR="004A0890" w:rsidRPr="00D5383B">
        <w:rPr>
          <w:color w:val="auto"/>
          <w:szCs w:val="24"/>
        </w:rPr>
        <w:t xml:space="preserve">Działanie </w:t>
      </w:r>
      <w:r w:rsidR="004A0890" w:rsidRPr="00D5383B">
        <w:rPr>
          <w:b/>
          <w:bCs/>
          <w:color w:val="auto"/>
          <w:szCs w:val="24"/>
        </w:rPr>
        <w:t>FELB.02.10 Ochrona przyrody.</w:t>
      </w:r>
      <w:r w:rsidR="00F82AC2" w:rsidRPr="00D5383B">
        <w:rPr>
          <w:color w:val="auto"/>
          <w:szCs w:val="24"/>
        </w:rPr>
        <w:t xml:space="preserve"> Typ operacji:</w:t>
      </w:r>
    </w:p>
    <w:p w14:paraId="03D70329" w14:textId="77777777" w:rsidR="004A0890" w:rsidRPr="00D5383B" w:rsidRDefault="004A0890" w:rsidP="00655459">
      <w:pPr>
        <w:spacing w:after="0" w:line="276" w:lineRule="auto"/>
        <w:ind w:right="6"/>
        <w:rPr>
          <w:color w:val="auto"/>
          <w:szCs w:val="24"/>
        </w:rPr>
      </w:pPr>
      <w:r w:rsidRPr="005A4B49">
        <w:rPr>
          <w:b/>
          <w:bCs/>
          <w:color w:val="auto"/>
          <w:szCs w:val="24"/>
        </w:rPr>
        <w:t>Typ I</w:t>
      </w:r>
      <w:r w:rsidRPr="00D5383B">
        <w:rPr>
          <w:color w:val="auto"/>
          <w:szCs w:val="24"/>
        </w:rPr>
        <w:t xml:space="preserve"> Wdrażanie zapisów zatwierdzonych dokumentów strategicznych i planistycznych z zakresu ochrony przyrody - wsparcie parków krajobrazowych, rezerwatów i obszarów Natura 2000, komplementarnie do wsparcia na poziomie krajowym. </w:t>
      </w:r>
    </w:p>
    <w:p w14:paraId="6AA0F849" w14:textId="77777777" w:rsidR="004A0890" w:rsidRPr="00D5383B" w:rsidRDefault="004A0890" w:rsidP="00655459">
      <w:pPr>
        <w:spacing w:after="62" w:line="276" w:lineRule="auto"/>
        <w:ind w:right="6"/>
        <w:rPr>
          <w:color w:val="auto"/>
          <w:szCs w:val="24"/>
        </w:rPr>
      </w:pPr>
      <w:r w:rsidRPr="005A4B49">
        <w:rPr>
          <w:b/>
          <w:bCs/>
          <w:color w:val="auto"/>
          <w:szCs w:val="24"/>
        </w:rPr>
        <w:lastRenderedPageBreak/>
        <w:t>Typ II</w:t>
      </w:r>
      <w:r w:rsidRPr="00D5383B">
        <w:rPr>
          <w:color w:val="auto"/>
          <w:szCs w:val="24"/>
        </w:rPr>
        <w:t xml:space="preserve"> Opracowanie dokumentów planistycznych dla obszarów chronionych - parki krajobrazowe (również te pokrywające się z obszarami Natura 2000) i rezerwaty (nie pokrywające się z obszarami Natura 2000).</w:t>
      </w:r>
    </w:p>
    <w:p w14:paraId="7188FD53" w14:textId="77777777" w:rsidR="004A0890" w:rsidRPr="00D5383B" w:rsidRDefault="004A0890" w:rsidP="00655459">
      <w:pPr>
        <w:spacing w:after="62" w:line="276" w:lineRule="auto"/>
        <w:ind w:right="6"/>
        <w:rPr>
          <w:color w:val="auto"/>
          <w:szCs w:val="24"/>
        </w:rPr>
      </w:pPr>
    </w:p>
    <w:p w14:paraId="067DF953" w14:textId="77777777" w:rsidR="00C10D58" w:rsidRPr="00D5383B" w:rsidRDefault="00B32CCF" w:rsidP="00655459">
      <w:pPr>
        <w:pStyle w:val="Nagwek1"/>
        <w:spacing w:line="276" w:lineRule="auto"/>
        <w:ind w:left="177" w:hanging="192"/>
        <w:rPr>
          <w:color w:val="auto"/>
          <w:sz w:val="24"/>
          <w:szCs w:val="24"/>
        </w:rPr>
      </w:pPr>
      <w:r w:rsidRPr="00D5383B">
        <w:rPr>
          <w:color w:val="auto"/>
          <w:sz w:val="24"/>
          <w:szCs w:val="24"/>
        </w:rPr>
        <w:t>Wydatki kwalifikowalne</w:t>
      </w:r>
      <w:r w:rsidRPr="00D5383B">
        <w:rPr>
          <w:b w:val="0"/>
          <w:color w:val="auto"/>
          <w:sz w:val="24"/>
          <w:szCs w:val="24"/>
          <w:u w:val="none"/>
        </w:rPr>
        <w:t xml:space="preserve"> </w:t>
      </w:r>
    </w:p>
    <w:p w14:paraId="4042B731" w14:textId="77777777" w:rsidR="00B2782D" w:rsidRPr="000D797B" w:rsidRDefault="00B2782D" w:rsidP="00655459">
      <w:pPr>
        <w:spacing w:line="276" w:lineRule="auto"/>
        <w:ind w:left="-5" w:right="0"/>
        <w:rPr>
          <w:color w:val="auto"/>
          <w:szCs w:val="24"/>
        </w:rPr>
      </w:pPr>
    </w:p>
    <w:p w14:paraId="06966016" w14:textId="0DC7BE2B" w:rsidR="00461FAE" w:rsidRPr="00D5383B" w:rsidRDefault="007447BC" w:rsidP="007447BC">
      <w:pPr>
        <w:spacing w:after="120" w:line="276" w:lineRule="auto"/>
        <w:ind w:left="-6" w:right="0" w:hanging="11"/>
        <w:rPr>
          <w:color w:val="auto"/>
          <w:szCs w:val="24"/>
        </w:rPr>
      </w:pPr>
      <w:r w:rsidRPr="000D797B">
        <w:rPr>
          <w:color w:val="auto"/>
          <w:szCs w:val="24"/>
        </w:rPr>
        <w:t xml:space="preserve">Do wydatków </w:t>
      </w:r>
      <w:r w:rsidRPr="00D5383B">
        <w:rPr>
          <w:color w:val="auto"/>
          <w:szCs w:val="24"/>
        </w:rPr>
        <w:t>kwalifikowalnych, mogą zostać zaliczone następujące wydatki</w:t>
      </w:r>
      <w:r w:rsidR="00461FAE" w:rsidRPr="00D5383B">
        <w:rPr>
          <w:color w:val="auto"/>
          <w:szCs w:val="24"/>
        </w:rPr>
        <w:t>:</w:t>
      </w:r>
    </w:p>
    <w:p w14:paraId="146A8033" w14:textId="12BF1C2B" w:rsidR="00AA002F" w:rsidRPr="00D5383B" w:rsidRDefault="00AA002F" w:rsidP="00AA002F">
      <w:pPr>
        <w:pStyle w:val="Akapitzlist"/>
        <w:numPr>
          <w:ilvl w:val="0"/>
          <w:numId w:val="8"/>
        </w:numPr>
        <w:spacing w:line="276" w:lineRule="auto"/>
        <w:ind w:left="284" w:right="0"/>
        <w:rPr>
          <w:color w:val="auto"/>
          <w:szCs w:val="24"/>
        </w:rPr>
      </w:pPr>
      <w:r w:rsidRPr="00D5383B">
        <w:rPr>
          <w:color w:val="auto"/>
          <w:szCs w:val="24"/>
        </w:rPr>
        <w:t>dotyczące wdr</w:t>
      </w:r>
      <w:r w:rsidR="000D797B" w:rsidRPr="00D5383B">
        <w:rPr>
          <w:color w:val="auto"/>
          <w:szCs w:val="24"/>
        </w:rPr>
        <w:t>a</w:t>
      </w:r>
      <w:r w:rsidRPr="00D5383B">
        <w:rPr>
          <w:color w:val="auto"/>
          <w:szCs w:val="24"/>
        </w:rPr>
        <w:t>ż</w:t>
      </w:r>
      <w:r w:rsidR="000D797B" w:rsidRPr="00D5383B">
        <w:rPr>
          <w:color w:val="auto"/>
          <w:szCs w:val="24"/>
        </w:rPr>
        <w:t>a</w:t>
      </w:r>
      <w:r w:rsidRPr="00D5383B">
        <w:rPr>
          <w:color w:val="auto"/>
          <w:szCs w:val="24"/>
        </w:rPr>
        <w:t>nia zapisów dokumentów strategicznych i planistycznych z</w:t>
      </w:r>
      <w:r w:rsidR="005A4B49">
        <w:rPr>
          <w:color w:val="auto"/>
          <w:szCs w:val="24"/>
        </w:rPr>
        <w:t> </w:t>
      </w:r>
      <w:r w:rsidRPr="00D5383B">
        <w:rPr>
          <w:color w:val="auto"/>
          <w:szCs w:val="24"/>
        </w:rPr>
        <w:t xml:space="preserve">zakresu ochrony przyrody stanowiących </w:t>
      </w:r>
      <w:r w:rsidR="00DE1FB0" w:rsidRPr="00D5383B">
        <w:rPr>
          <w:color w:val="auto"/>
          <w:szCs w:val="24"/>
        </w:rPr>
        <w:t>wsparcie parków krajobrazowych, rezerwatów i obszarów Natura 2000, komplementarnie do wsparcia na poziomie krajowym</w:t>
      </w:r>
      <w:r w:rsidRPr="00D5383B">
        <w:rPr>
          <w:color w:val="auto"/>
          <w:szCs w:val="24"/>
        </w:rPr>
        <w:t>;</w:t>
      </w:r>
    </w:p>
    <w:p w14:paraId="7E56BFC3" w14:textId="7E38B864" w:rsidR="00AA002F" w:rsidRPr="00D5383B" w:rsidRDefault="00461FAE" w:rsidP="00AA002F">
      <w:pPr>
        <w:pStyle w:val="Akapitzlist"/>
        <w:numPr>
          <w:ilvl w:val="0"/>
          <w:numId w:val="8"/>
        </w:numPr>
        <w:spacing w:line="276" w:lineRule="auto"/>
        <w:ind w:left="284" w:right="0"/>
        <w:rPr>
          <w:color w:val="auto"/>
          <w:szCs w:val="24"/>
        </w:rPr>
      </w:pPr>
      <w:r w:rsidRPr="00D5383B">
        <w:rPr>
          <w:color w:val="auto"/>
          <w:szCs w:val="24"/>
        </w:rPr>
        <w:t>któr</w:t>
      </w:r>
      <w:r w:rsidR="00DF227B" w:rsidRPr="00D5383B">
        <w:rPr>
          <w:color w:val="auto"/>
          <w:szCs w:val="24"/>
        </w:rPr>
        <w:t>e</w:t>
      </w:r>
      <w:r w:rsidRPr="00D5383B">
        <w:rPr>
          <w:color w:val="auto"/>
          <w:szCs w:val="24"/>
        </w:rPr>
        <w:t xml:space="preserve"> interwencją ob</w:t>
      </w:r>
      <w:r w:rsidR="00DF227B" w:rsidRPr="00D5383B">
        <w:rPr>
          <w:color w:val="auto"/>
          <w:szCs w:val="24"/>
        </w:rPr>
        <w:t>ejmują</w:t>
      </w:r>
      <w:r w:rsidR="00AA002F" w:rsidRPr="00D5383B">
        <w:rPr>
          <w:color w:val="auto"/>
          <w:szCs w:val="24"/>
        </w:rPr>
        <w:t xml:space="preserve"> p</w:t>
      </w:r>
      <w:r w:rsidR="00DE1FB0" w:rsidRPr="00D5383B">
        <w:rPr>
          <w:color w:val="auto"/>
          <w:szCs w:val="24"/>
        </w:rPr>
        <w:t>arki krajobrazowe i rezerwaty przyrody w części nie pokrywającej się z</w:t>
      </w:r>
      <w:r w:rsidRPr="00D5383B">
        <w:rPr>
          <w:color w:val="auto"/>
          <w:szCs w:val="24"/>
        </w:rPr>
        <w:t> </w:t>
      </w:r>
      <w:r w:rsidR="00DE1FB0" w:rsidRPr="00D5383B">
        <w:rPr>
          <w:color w:val="auto"/>
          <w:szCs w:val="24"/>
        </w:rPr>
        <w:t>obszarami Natura 2000;</w:t>
      </w:r>
    </w:p>
    <w:p w14:paraId="75C8DEB9" w14:textId="0D058384" w:rsidR="00DE1FB0" w:rsidRPr="00D5383B" w:rsidRDefault="00456021" w:rsidP="00AA002F">
      <w:pPr>
        <w:pStyle w:val="Akapitzlist"/>
        <w:numPr>
          <w:ilvl w:val="0"/>
          <w:numId w:val="8"/>
        </w:numPr>
        <w:spacing w:line="276" w:lineRule="auto"/>
        <w:ind w:left="284" w:right="0"/>
        <w:rPr>
          <w:color w:val="auto"/>
          <w:szCs w:val="24"/>
        </w:rPr>
      </w:pPr>
      <w:r w:rsidRPr="00D5383B">
        <w:rPr>
          <w:color w:val="auto"/>
          <w:szCs w:val="24"/>
        </w:rPr>
        <w:t>w</w:t>
      </w:r>
      <w:r w:rsidR="00DE1FB0" w:rsidRPr="00D5383B">
        <w:rPr>
          <w:color w:val="auto"/>
          <w:szCs w:val="24"/>
        </w:rPr>
        <w:t xml:space="preserve"> przypadku, gdy obszar Natura 2000 pokrywa się z parkiem krajobrazowym lub rezerwatem przyrody, </w:t>
      </w:r>
      <w:r w:rsidR="000D797B" w:rsidRPr="00D5383B">
        <w:rPr>
          <w:color w:val="auto"/>
          <w:szCs w:val="24"/>
        </w:rPr>
        <w:t>projekty w których</w:t>
      </w:r>
      <w:r w:rsidR="00DE1FB0" w:rsidRPr="00D5383B">
        <w:rPr>
          <w:color w:val="auto"/>
          <w:szCs w:val="24"/>
        </w:rPr>
        <w:t xml:space="preserve">: </w:t>
      </w:r>
    </w:p>
    <w:p w14:paraId="36154795" w14:textId="4F8F3EC2" w:rsidR="00DE1FB0" w:rsidRPr="00D5383B" w:rsidRDefault="000D797B" w:rsidP="00655459">
      <w:pPr>
        <w:pStyle w:val="Akapitzlist"/>
        <w:numPr>
          <w:ilvl w:val="0"/>
          <w:numId w:val="16"/>
        </w:numPr>
        <w:spacing w:after="120" w:line="276" w:lineRule="auto"/>
        <w:ind w:right="0"/>
        <w:rPr>
          <w:color w:val="auto"/>
          <w:szCs w:val="24"/>
        </w:rPr>
      </w:pPr>
      <w:r w:rsidRPr="00D5383B">
        <w:rPr>
          <w:color w:val="auto"/>
          <w:szCs w:val="24"/>
        </w:rPr>
        <w:t>nie jest</w:t>
      </w:r>
      <w:r w:rsidR="00DE1FB0" w:rsidRPr="00D5383B">
        <w:rPr>
          <w:color w:val="auto"/>
          <w:szCs w:val="24"/>
        </w:rPr>
        <w:t xml:space="preserve"> planowan</w:t>
      </w:r>
      <w:r w:rsidRPr="00D5383B">
        <w:rPr>
          <w:color w:val="auto"/>
          <w:szCs w:val="24"/>
        </w:rPr>
        <w:t>a</w:t>
      </w:r>
      <w:r w:rsidR="00DE1FB0" w:rsidRPr="00D5383B">
        <w:rPr>
          <w:color w:val="auto"/>
          <w:szCs w:val="24"/>
        </w:rPr>
        <w:t>/realizowan</w:t>
      </w:r>
      <w:r w:rsidRPr="00D5383B">
        <w:rPr>
          <w:color w:val="auto"/>
          <w:szCs w:val="24"/>
        </w:rPr>
        <w:t>a</w:t>
      </w:r>
      <w:r w:rsidR="00DE1FB0" w:rsidRPr="00D5383B">
        <w:rPr>
          <w:color w:val="auto"/>
          <w:szCs w:val="24"/>
        </w:rPr>
        <w:t xml:space="preserve"> interwencj</w:t>
      </w:r>
      <w:r w:rsidRPr="00D5383B">
        <w:rPr>
          <w:color w:val="auto"/>
          <w:szCs w:val="24"/>
        </w:rPr>
        <w:t>a</w:t>
      </w:r>
      <w:r w:rsidR="00DE1FB0" w:rsidRPr="00D5383B">
        <w:rPr>
          <w:color w:val="auto"/>
          <w:szCs w:val="24"/>
        </w:rPr>
        <w:t xml:space="preserve"> z </w:t>
      </w:r>
      <w:proofErr w:type="spellStart"/>
      <w:r w:rsidR="00DE1FB0" w:rsidRPr="00D5383B">
        <w:rPr>
          <w:color w:val="auto"/>
          <w:szCs w:val="24"/>
        </w:rPr>
        <w:t>FEnIKS</w:t>
      </w:r>
      <w:proofErr w:type="spellEnd"/>
      <w:r w:rsidR="00F26E81" w:rsidRPr="00D5383B">
        <w:rPr>
          <w:color w:val="auto"/>
          <w:szCs w:val="24"/>
        </w:rPr>
        <w:t xml:space="preserve"> </w:t>
      </w:r>
      <w:r w:rsidR="00DE1FB0" w:rsidRPr="00D5383B">
        <w:rPr>
          <w:color w:val="auto"/>
          <w:szCs w:val="24"/>
        </w:rPr>
        <w:t>i</w:t>
      </w:r>
    </w:p>
    <w:p w14:paraId="6967FA04" w14:textId="16A63582" w:rsidR="00DE1FB0" w:rsidRPr="00D5383B" w:rsidRDefault="00DE1FB0" w:rsidP="00655459">
      <w:pPr>
        <w:pStyle w:val="Akapitzlist"/>
        <w:numPr>
          <w:ilvl w:val="0"/>
          <w:numId w:val="16"/>
        </w:numPr>
        <w:spacing w:after="120" w:line="276" w:lineRule="auto"/>
        <w:ind w:right="0"/>
        <w:rPr>
          <w:color w:val="auto"/>
          <w:szCs w:val="24"/>
        </w:rPr>
      </w:pPr>
      <w:r w:rsidRPr="00D5383B">
        <w:rPr>
          <w:color w:val="auto"/>
          <w:szCs w:val="24"/>
        </w:rPr>
        <w:t xml:space="preserve">są to projekty ograniczone terytorialnie do jednego województwa i </w:t>
      </w:r>
    </w:p>
    <w:p w14:paraId="1C839FEB" w14:textId="7BB30355" w:rsidR="00AA002F" w:rsidRPr="00D5383B" w:rsidRDefault="00DE1FB0" w:rsidP="00456021">
      <w:pPr>
        <w:pStyle w:val="Akapitzlist"/>
        <w:numPr>
          <w:ilvl w:val="0"/>
          <w:numId w:val="16"/>
        </w:numPr>
        <w:spacing w:after="120" w:line="276" w:lineRule="auto"/>
        <w:ind w:right="0"/>
        <w:rPr>
          <w:color w:val="auto"/>
          <w:szCs w:val="24"/>
        </w:rPr>
      </w:pPr>
      <w:r w:rsidRPr="00D5383B">
        <w:rPr>
          <w:color w:val="auto"/>
          <w:szCs w:val="24"/>
        </w:rPr>
        <w:t>tylko za zgodą organu nadzorującego dany obszar chroniony</w:t>
      </w:r>
      <w:r w:rsidR="005A4B49">
        <w:rPr>
          <w:color w:val="auto"/>
          <w:szCs w:val="24"/>
        </w:rPr>
        <w:t>;</w:t>
      </w:r>
    </w:p>
    <w:p w14:paraId="6E434056" w14:textId="7EFF1DF0" w:rsidR="00456021" w:rsidRPr="00D5383B" w:rsidRDefault="00AA002F" w:rsidP="00456021">
      <w:pPr>
        <w:pStyle w:val="Akapitzlist"/>
        <w:numPr>
          <w:ilvl w:val="0"/>
          <w:numId w:val="8"/>
        </w:numPr>
        <w:spacing w:line="276" w:lineRule="auto"/>
        <w:ind w:left="284" w:right="0"/>
        <w:rPr>
          <w:color w:val="FF0000"/>
          <w:szCs w:val="24"/>
        </w:rPr>
      </w:pPr>
      <w:r w:rsidRPr="00D5383B">
        <w:rPr>
          <w:color w:val="auto"/>
          <w:szCs w:val="24"/>
        </w:rPr>
        <w:t>obejmujące opracowania dokumentów planistycznych dla obszarów chronionych - parki krajobrazowe i rezerwaty</w:t>
      </w:r>
      <w:r w:rsidR="00456021" w:rsidRPr="00D5383B">
        <w:rPr>
          <w:color w:val="auto"/>
          <w:szCs w:val="24"/>
        </w:rPr>
        <w:t xml:space="preserve"> </w:t>
      </w:r>
      <w:r w:rsidR="00461FAE" w:rsidRPr="00D5383B">
        <w:rPr>
          <w:color w:val="auto"/>
          <w:szCs w:val="24"/>
        </w:rPr>
        <w:t>- parki krajobrazowe (również te pokrywające się z</w:t>
      </w:r>
      <w:r w:rsidR="005A4B49">
        <w:rPr>
          <w:color w:val="auto"/>
          <w:szCs w:val="24"/>
        </w:rPr>
        <w:t> </w:t>
      </w:r>
      <w:r w:rsidR="00461FAE" w:rsidRPr="00D5383B">
        <w:rPr>
          <w:color w:val="auto"/>
          <w:szCs w:val="24"/>
        </w:rPr>
        <w:t>obszarami Natura 2000) i rezerwaty (nie pokrywające się z obszarami Natura 2000)</w:t>
      </w:r>
      <w:r w:rsidR="00456021" w:rsidRPr="00D5383B">
        <w:rPr>
          <w:color w:val="auto"/>
          <w:szCs w:val="24"/>
        </w:rPr>
        <w:t>;</w:t>
      </w:r>
    </w:p>
    <w:p w14:paraId="177C79A3" w14:textId="5D66F9A0" w:rsidR="00461FAE" w:rsidRPr="00D5383B" w:rsidRDefault="00456021" w:rsidP="00456021">
      <w:pPr>
        <w:pStyle w:val="Akapitzlist"/>
        <w:numPr>
          <w:ilvl w:val="0"/>
          <w:numId w:val="8"/>
        </w:numPr>
        <w:spacing w:line="276" w:lineRule="auto"/>
        <w:ind w:left="284" w:right="0"/>
        <w:rPr>
          <w:color w:val="FF0000"/>
          <w:szCs w:val="24"/>
        </w:rPr>
      </w:pPr>
      <w:r w:rsidRPr="00D5383B">
        <w:rPr>
          <w:color w:val="auto"/>
          <w:szCs w:val="24"/>
        </w:rPr>
        <w:t xml:space="preserve">dotyczące </w:t>
      </w:r>
      <w:r w:rsidR="00461FAE" w:rsidRPr="00D5383B">
        <w:rPr>
          <w:color w:val="auto"/>
          <w:szCs w:val="24"/>
        </w:rPr>
        <w:t>przygotowani</w:t>
      </w:r>
      <w:r w:rsidRPr="00D5383B">
        <w:rPr>
          <w:color w:val="auto"/>
          <w:szCs w:val="24"/>
        </w:rPr>
        <w:t>a</w:t>
      </w:r>
      <w:r w:rsidR="00461FAE" w:rsidRPr="00D5383B">
        <w:rPr>
          <w:color w:val="auto"/>
          <w:szCs w:val="24"/>
        </w:rPr>
        <w:t>/aktualizacj</w:t>
      </w:r>
      <w:r w:rsidRPr="00D5383B">
        <w:rPr>
          <w:color w:val="auto"/>
          <w:szCs w:val="24"/>
        </w:rPr>
        <w:t>i</w:t>
      </w:r>
      <w:r w:rsidR="00461FAE" w:rsidRPr="00D5383B">
        <w:rPr>
          <w:color w:val="auto"/>
          <w:szCs w:val="24"/>
        </w:rPr>
        <w:t xml:space="preserve"> dokumentów planistycznych dla obszarów chronionych, tj.</w:t>
      </w:r>
      <w:r w:rsidR="005A4B49">
        <w:rPr>
          <w:color w:val="auto"/>
          <w:szCs w:val="24"/>
        </w:rPr>
        <w:t>:</w:t>
      </w:r>
      <w:r w:rsidR="00461FAE" w:rsidRPr="00D5383B">
        <w:rPr>
          <w:color w:val="auto"/>
          <w:szCs w:val="24"/>
        </w:rPr>
        <w:t xml:space="preserve"> </w:t>
      </w:r>
    </w:p>
    <w:p w14:paraId="1D5329D9" w14:textId="6FC26B0B" w:rsidR="00461FAE" w:rsidRPr="00D5383B" w:rsidRDefault="00461FAE" w:rsidP="00456021">
      <w:pPr>
        <w:pStyle w:val="Akapitzlist"/>
        <w:numPr>
          <w:ilvl w:val="0"/>
          <w:numId w:val="16"/>
        </w:numPr>
        <w:spacing w:after="120" w:line="276" w:lineRule="auto"/>
        <w:ind w:right="0"/>
        <w:rPr>
          <w:color w:val="auto"/>
          <w:szCs w:val="24"/>
        </w:rPr>
      </w:pPr>
      <w:r w:rsidRPr="00D5383B">
        <w:rPr>
          <w:color w:val="auto"/>
          <w:szCs w:val="24"/>
        </w:rPr>
        <w:t>parki krajobrazowe, w tym obszary Natura 2000 pokrywające się z</w:t>
      </w:r>
      <w:r w:rsidR="005A4B49">
        <w:rPr>
          <w:color w:val="auto"/>
          <w:szCs w:val="24"/>
        </w:rPr>
        <w:t> </w:t>
      </w:r>
      <w:r w:rsidRPr="00D5383B">
        <w:rPr>
          <w:color w:val="auto"/>
          <w:szCs w:val="24"/>
        </w:rPr>
        <w:t>obszarem danego parku krajobrazowego - tylko plany ochrony bez uwzględnienia zakresu planów zadań ochronnych dla Natura 2000;</w:t>
      </w:r>
    </w:p>
    <w:p w14:paraId="1A793630" w14:textId="77777777" w:rsidR="00461FAE" w:rsidRPr="00D5383B" w:rsidRDefault="00461FAE" w:rsidP="00456021">
      <w:pPr>
        <w:pStyle w:val="Akapitzlist"/>
        <w:numPr>
          <w:ilvl w:val="0"/>
          <w:numId w:val="16"/>
        </w:numPr>
        <w:spacing w:after="120" w:line="276" w:lineRule="auto"/>
        <w:ind w:right="0"/>
        <w:rPr>
          <w:color w:val="auto"/>
          <w:szCs w:val="24"/>
        </w:rPr>
      </w:pPr>
      <w:r w:rsidRPr="00D5383B">
        <w:rPr>
          <w:color w:val="auto"/>
          <w:szCs w:val="24"/>
        </w:rPr>
        <w:t>rezerwaty przyrody – jeśli nie pokrywają się z obszarami Natura 2000;</w:t>
      </w:r>
    </w:p>
    <w:p w14:paraId="31F25C7C" w14:textId="4D35E49D" w:rsidR="00456021" w:rsidRPr="00D5383B" w:rsidRDefault="00461FAE" w:rsidP="00456021">
      <w:pPr>
        <w:pStyle w:val="Akapitzlist"/>
        <w:numPr>
          <w:ilvl w:val="0"/>
          <w:numId w:val="16"/>
        </w:numPr>
        <w:spacing w:after="120" w:line="276" w:lineRule="auto"/>
        <w:ind w:right="0"/>
        <w:rPr>
          <w:color w:val="auto"/>
          <w:szCs w:val="24"/>
        </w:rPr>
      </w:pPr>
      <w:r w:rsidRPr="00D5383B">
        <w:rPr>
          <w:color w:val="auto"/>
          <w:szCs w:val="24"/>
        </w:rPr>
        <w:t>obszary Natura 2000 – tylko aktualizacja planów ochrony (PO) parków krajobrazowych, które dotychczas uwzględniały zakres planów zadań ochronnych (PZO) dla fragmentów obszarów Natura 2000</w:t>
      </w:r>
      <w:r w:rsidR="005A4B49">
        <w:rPr>
          <w:color w:val="auto"/>
          <w:szCs w:val="24"/>
        </w:rPr>
        <w:t>;</w:t>
      </w:r>
    </w:p>
    <w:p w14:paraId="04D5BE70" w14:textId="35461A2D" w:rsidR="002A3757" w:rsidRPr="009A5BC8" w:rsidRDefault="00406CB2" w:rsidP="00655459">
      <w:pPr>
        <w:pStyle w:val="Akapitzlist"/>
        <w:numPr>
          <w:ilvl w:val="0"/>
          <w:numId w:val="8"/>
        </w:numPr>
        <w:spacing w:line="276" w:lineRule="auto"/>
        <w:ind w:left="284" w:right="0"/>
        <w:rPr>
          <w:color w:val="auto"/>
          <w:szCs w:val="24"/>
        </w:rPr>
      </w:pPr>
      <w:r w:rsidRPr="009A5BC8">
        <w:rPr>
          <w:color w:val="auto"/>
          <w:szCs w:val="24"/>
        </w:rPr>
        <w:t>z</w:t>
      </w:r>
      <w:r w:rsidR="003D2137" w:rsidRPr="009A5BC8">
        <w:rPr>
          <w:color w:val="auto"/>
          <w:szCs w:val="24"/>
        </w:rPr>
        <w:t>godnie z Podrozdziałem 3.5. Podatek od towarów i usług (VAT) Wytycznych dotyczących kwalifikowalności wydatków na lata 2021-2027 Ministra Funduszy i</w:t>
      </w:r>
      <w:r w:rsidR="005A4B49">
        <w:rPr>
          <w:color w:val="auto"/>
          <w:szCs w:val="24"/>
        </w:rPr>
        <w:t> </w:t>
      </w:r>
      <w:r w:rsidR="003D2137" w:rsidRPr="009A5BC8">
        <w:rPr>
          <w:color w:val="auto"/>
          <w:szCs w:val="24"/>
        </w:rPr>
        <w:t>Polityki Regionalnej, w</w:t>
      </w:r>
      <w:r w:rsidR="002A3757" w:rsidRPr="009A5BC8">
        <w:rPr>
          <w:color w:val="auto"/>
          <w:szCs w:val="24"/>
        </w:rPr>
        <w:t>ydatki poniesione na podatek od towarów i usług mogą zostać uznane za kwalifikowalne</w:t>
      </w:r>
      <w:r w:rsidR="003D2137" w:rsidRPr="009A5BC8">
        <w:rPr>
          <w:color w:val="auto"/>
          <w:szCs w:val="24"/>
        </w:rPr>
        <w:t>:</w:t>
      </w:r>
    </w:p>
    <w:p w14:paraId="5539E335" w14:textId="09AD0BEA" w:rsidR="002A3757" w:rsidRPr="009A5BC8" w:rsidRDefault="002A3757" w:rsidP="00655459">
      <w:pPr>
        <w:pStyle w:val="Akapitzlist"/>
        <w:numPr>
          <w:ilvl w:val="0"/>
          <w:numId w:val="13"/>
        </w:numPr>
        <w:spacing w:line="276" w:lineRule="auto"/>
        <w:ind w:left="567" w:hanging="218"/>
        <w:rPr>
          <w:color w:val="auto"/>
          <w:szCs w:val="24"/>
        </w:rPr>
      </w:pPr>
      <w:r w:rsidRPr="009A5BC8">
        <w:rPr>
          <w:color w:val="auto"/>
          <w:szCs w:val="24"/>
        </w:rPr>
        <w:lastRenderedPageBreak/>
        <w:t>w projekcie, którego łączny koszt</w:t>
      </w:r>
      <w:r w:rsidR="003D2137" w:rsidRPr="009A5BC8">
        <w:rPr>
          <w:color w:val="auto"/>
          <w:szCs w:val="24"/>
        </w:rPr>
        <w:footnoteReference w:id="1"/>
      </w:r>
      <w:r w:rsidRPr="009A5BC8">
        <w:rPr>
          <w:color w:val="auto"/>
          <w:szCs w:val="24"/>
        </w:rPr>
        <w:t xml:space="preserve"> jest mniejszy niż 5 mln EUR (włączając VAT), z wyłączeniem projektów objętych pomocą publiczną;</w:t>
      </w:r>
    </w:p>
    <w:p w14:paraId="14A26F20" w14:textId="78BC6E33" w:rsidR="00070B73" w:rsidRPr="009A5BC8" w:rsidRDefault="002A3757" w:rsidP="00655459">
      <w:pPr>
        <w:pStyle w:val="Akapitzlist"/>
        <w:numPr>
          <w:ilvl w:val="0"/>
          <w:numId w:val="13"/>
        </w:numPr>
        <w:spacing w:line="276" w:lineRule="auto"/>
        <w:ind w:left="567" w:hanging="218"/>
        <w:rPr>
          <w:color w:val="auto"/>
          <w:szCs w:val="24"/>
        </w:rPr>
      </w:pPr>
      <w:r w:rsidRPr="009A5BC8">
        <w:rPr>
          <w:color w:val="auto"/>
          <w:szCs w:val="24"/>
        </w:rPr>
        <w:t>w projekcie, którego łączny koszt wynosi, co najmniej 5 mln EUR (włączając VAT), może być kwalifikowalny, gdy brak jest prawnej możliwości odzyskania podatku VAT zgodnie z przepisami prawa krajowego</w:t>
      </w:r>
      <w:r w:rsidR="001F3E94" w:rsidRPr="009A5BC8">
        <w:rPr>
          <w:color w:val="auto"/>
          <w:szCs w:val="24"/>
        </w:rPr>
        <w:t>;</w:t>
      </w:r>
    </w:p>
    <w:p w14:paraId="4D2F6852" w14:textId="63CD5596" w:rsidR="004773E6" w:rsidRPr="009A5BC8" w:rsidRDefault="002A3757" w:rsidP="00655459">
      <w:pPr>
        <w:pStyle w:val="Akapitzlist"/>
        <w:numPr>
          <w:ilvl w:val="0"/>
          <w:numId w:val="8"/>
        </w:numPr>
        <w:spacing w:line="276" w:lineRule="auto"/>
        <w:ind w:left="284" w:right="0"/>
        <w:rPr>
          <w:color w:val="auto"/>
          <w:szCs w:val="24"/>
        </w:rPr>
      </w:pPr>
      <w:r w:rsidRPr="009A5BC8">
        <w:rPr>
          <w:color w:val="auto"/>
          <w:szCs w:val="24"/>
        </w:rPr>
        <w:t>Wnioskodawca, który zaliczy podatek VAT do wydatków kwalifikowalnych, zobowiązany jest dołączyć do wniosku o dofinansowanie projektu „Oświadczenie o</w:t>
      </w:r>
      <w:r w:rsidR="005A4B49">
        <w:rPr>
          <w:color w:val="auto"/>
          <w:szCs w:val="24"/>
        </w:rPr>
        <w:t> </w:t>
      </w:r>
      <w:r w:rsidRPr="009A5BC8">
        <w:rPr>
          <w:color w:val="auto"/>
          <w:szCs w:val="24"/>
        </w:rPr>
        <w:t>kwalifikowalności</w:t>
      </w:r>
      <w:r w:rsidR="00070B73" w:rsidRPr="009A5BC8">
        <w:rPr>
          <w:color w:val="auto"/>
          <w:szCs w:val="24"/>
        </w:rPr>
        <w:t xml:space="preserve"> podatku</w:t>
      </w:r>
      <w:r w:rsidRPr="009A5BC8">
        <w:rPr>
          <w:color w:val="auto"/>
          <w:szCs w:val="24"/>
        </w:rPr>
        <w:t xml:space="preserve"> VAT”. Oświadczenie składa się z dwóch integralnych części. W ramach pierwszej części Wnioskodawca/Partner</w:t>
      </w:r>
      <w:r w:rsidR="00D27021" w:rsidRPr="009A5BC8">
        <w:rPr>
          <w:color w:val="auto"/>
          <w:szCs w:val="24"/>
        </w:rPr>
        <w:t xml:space="preserve"> (jeśli dotyczy)</w:t>
      </w:r>
      <w:r w:rsidRPr="009A5BC8">
        <w:rPr>
          <w:color w:val="auto"/>
          <w:szCs w:val="24"/>
        </w:rPr>
        <w:t xml:space="preserve"> oświadcza, iż w chwili składania wniosku o dofinansowanie projektu nie ma prawnej możliwości odzyskania podatku VAT, którego wysokość została określona we wniosku o dofinansowanie projektu. Natomiast w części drugiej Wnioskodawca/Partner</w:t>
      </w:r>
      <w:r w:rsidR="00D27021" w:rsidRPr="009A5BC8">
        <w:rPr>
          <w:color w:val="auto"/>
          <w:szCs w:val="24"/>
        </w:rPr>
        <w:t xml:space="preserve"> (jeśli dotyczy)</w:t>
      </w:r>
      <w:r w:rsidRPr="009A5BC8">
        <w:rPr>
          <w:color w:val="auto"/>
          <w:szCs w:val="24"/>
        </w:rPr>
        <w:t xml:space="preserve"> zobowiązuje się do zwrotu zrefundowanej ze środków unijnych części VAT, jeżeli zaistnieją przesłanki umożliwiające odzyskanie tego podatku. IZ FEWL 21-27 zastrzega sobie możliwość weryfikacji kwalifikowalności podatku VAT na każdym etapie realizacji projektu.</w:t>
      </w:r>
    </w:p>
    <w:p w14:paraId="1E555CDF" w14:textId="77777777" w:rsidR="00962359" w:rsidRPr="00E139CB" w:rsidRDefault="00962359" w:rsidP="00655459">
      <w:pPr>
        <w:spacing w:line="276" w:lineRule="auto"/>
        <w:ind w:left="-5" w:right="0"/>
        <w:rPr>
          <w:b/>
          <w:color w:val="FF0000"/>
          <w:szCs w:val="24"/>
          <w:u w:val="single" w:color="000000"/>
        </w:rPr>
      </w:pPr>
    </w:p>
    <w:p w14:paraId="3495F463" w14:textId="37C51221" w:rsidR="00C10D58" w:rsidRPr="008522F8" w:rsidRDefault="00B32CCF" w:rsidP="00655459">
      <w:pPr>
        <w:spacing w:line="276" w:lineRule="auto"/>
        <w:ind w:left="-5" w:right="0"/>
        <w:rPr>
          <w:color w:val="auto"/>
          <w:szCs w:val="24"/>
        </w:rPr>
      </w:pPr>
      <w:r w:rsidRPr="008522F8">
        <w:rPr>
          <w:b/>
          <w:color w:val="auto"/>
          <w:szCs w:val="24"/>
          <w:u w:val="single" w:color="000000"/>
        </w:rPr>
        <w:t>Koszty pośrednie</w:t>
      </w:r>
      <w:r w:rsidRPr="005A4B49">
        <w:rPr>
          <w:b/>
          <w:color w:val="auto"/>
          <w:szCs w:val="24"/>
        </w:rPr>
        <w:t xml:space="preserve"> – </w:t>
      </w:r>
      <w:r w:rsidRPr="008522F8">
        <w:rPr>
          <w:color w:val="auto"/>
          <w:szCs w:val="24"/>
        </w:rPr>
        <w:t xml:space="preserve">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Kosztami pośrednimi w szczególności są: </w:t>
      </w:r>
    </w:p>
    <w:p w14:paraId="77CD51ED" w14:textId="45056880"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koszty koordynatora projektu oraz innego personelu zaangażowanego w</w:t>
      </w:r>
      <w:r w:rsidR="006D5A36" w:rsidRPr="008522F8">
        <w:rPr>
          <w:color w:val="auto"/>
          <w:szCs w:val="24"/>
        </w:rPr>
        <w:t> </w:t>
      </w:r>
      <w:r w:rsidRPr="008522F8">
        <w:rPr>
          <w:color w:val="auto"/>
          <w:szCs w:val="24"/>
        </w:rPr>
        <w:t xml:space="preserve"> zarządzanie, rozliczanie, monitorowanie projektu lub prowadzenie innych działań administracyjnych  w projekcie, w szczególności koszty wynagrodzenia tych osób, ich delegacji służbowych  i szkoleń, </w:t>
      </w:r>
    </w:p>
    <w:p w14:paraId="1ACCFABE"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zarządu (wynagrodzenia osób uprawnionych do reprezentowania jednostki, których zakresy czynności nie są przypisane wyłącznie do projektu, np. kierownika jednostki), </w:t>
      </w:r>
    </w:p>
    <w:p w14:paraId="44BC186D"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personelu obsługowego (obsługa kadrowa, finansowa, administracyjna, sekretariat, kancelaria, obsługa prawna, w tym dotycząca zamówień) na potrzeby funkcjonowania jednostki, </w:t>
      </w:r>
    </w:p>
    <w:p w14:paraId="7F01D96C" w14:textId="3756C17D"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koszty obsługi księgowej (wynagrodzenia osób księgujących wydatki w</w:t>
      </w:r>
      <w:r w:rsidR="006D5A36" w:rsidRPr="008522F8">
        <w:rPr>
          <w:color w:val="auto"/>
          <w:szCs w:val="24"/>
        </w:rPr>
        <w:t> </w:t>
      </w:r>
      <w:r w:rsidRPr="008522F8">
        <w:rPr>
          <w:color w:val="auto"/>
          <w:szCs w:val="24"/>
        </w:rPr>
        <w:t xml:space="preserve"> projekcie, koszty związane ze zleceniem prowadzenia obsługi księgowej projektu biuru rachunkowemu), </w:t>
      </w:r>
    </w:p>
    <w:p w14:paraId="04FEFD8C"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utrzymania powierzchni biurowych (czynsz, najem, opłaty administracyjne), </w:t>
      </w:r>
    </w:p>
    <w:p w14:paraId="45519A55"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lastRenderedPageBreak/>
        <w:t xml:space="preserve">wydatki związane z otworzeniem lub prowadzeniem wyodrębnionego na rzecz projektu subkonta na rachunku płatniczym lub odrębnego rachunku płatniczego, </w:t>
      </w:r>
    </w:p>
    <w:p w14:paraId="669A8ABD" w14:textId="6537F23D"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odpisy</w:t>
      </w:r>
      <w:r w:rsidR="00CF6757" w:rsidRPr="008522F8">
        <w:rPr>
          <w:color w:val="auto"/>
          <w:szCs w:val="24"/>
        </w:rPr>
        <w:t>,</w:t>
      </w:r>
      <w:r w:rsidRPr="008522F8">
        <w:rPr>
          <w:color w:val="auto"/>
          <w:szCs w:val="24"/>
        </w:rPr>
        <w:t xml:space="preserve"> amortyzacje, koszty najmu lub zakupu aktywów (środków trwałych i</w:t>
      </w:r>
      <w:r w:rsidR="006D5A36" w:rsidRPr="008522F8">
        <w:rPr>
          <w:color w:val="auto"/>
          <w:szCs w:val="24"/>
        </w:rPr>
        <w:t> </w:t>
      </w:r>
      <w:r w:rsidRPr="008522F8">
        <w:rPr>
          <w:color w:val="auto"/>
          <w:szCs w:val="24"/>
        </w:rPr>
        <w:t xml:space="preserve"> wartości niematerialnych i prawnych) używanych na potrzeby osób, o których mowa w pkt. 1 - 4, </w:t>
      </w:r>
    </w:p>
    <w:p w14:paraId="51C96906"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opłaty za energię elektryczną, cieplną, gazową i wodę, opłaty przesyłowe, opłaty  za odprowadzanie ścieków, opłaty za wywóz odpadów komunalnych, </w:t>
      </w:r>
    </w:p>
    <w:p w14:paraId="36CEE864"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usług pocztowych, telefonicznych, internetowych, kurierskich, </w:t>
      </w:r>
    </w:p>
    <w:p w14:paraId="3AB61CAB"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usług powielania dokumentów, </w:t>
      </w:r>
    </w:p>
    <w:p w14:paraId="7776ABE0"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materiałów biurowych i artykułów piśmienniczych, </w:t>
      </w:r>
    </w:p>
    <w:p w14:paraId="1EACB5D3"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ochrony, </w:t>
      </w:r>
    </w:p>
    <w:p w14:paraId="62C82675"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koszty sprzątania pomieszczeń, w tym środków czystości, dezynsekcji, dezynfekcji, deratyzacji tych pomieszczeń, </w:t>
      </w:r>
    </w:p>
    <w:p w14:paraId="3378494C" w14:textId="77777777" w:rsidR="00C10D58" w:rsidRPr="008522F8" w:rsidRDefault="00B32CCF" w:rsidP="00655459">
      <w:pPr>
        <w:numPr>
          <w:ilvl w:val="1"/>
          <w:numId w:val="2"/>
        </w:numPr>
        <w:spacing w:line="276" w:lineRule="auto"/>
        <w:ind w:left="426" w:right="0" w:hanging="406"/>
        <w:rPr>
          <w:color w:val="auto"/>
          <w:szCs w:val="24"/>
        </w:rPr>
      </w:pPr>
      <w:r w:rsidRPr="008522F8">
        <w:rPr>
          <w:color w:val="auto"/>
          <w:szCs w:val="24"/>
        </w:rPr>
        <w:t xml:space="preserve">opłaty pobierane od dokonywanych transakcji płatniczych (krajowych lub zagranicznych). </w:t>
      </w:r>
    </w:p>
    <w:p w14:paraId="08D3952F" w14:textId="77777777" w:rsidR="00D5383B" w:rsidRDefault="00D5383B" w:rsidP="00655459">
      <w:pPr>
        <w:spacing w:after="0" w:line="276" w:lineRule="auto"/>
        <w:ind w:left="0" w:right="0" w:firstLine="0"/>
        <w:rPr>
          <w:b/>
          <w:color w:val="auto"/>
          <w:szCs w:val="24"/>
          <w:u w:val="single" w:color="000000"/>
        </w:rPr>
      </w:pPr>
    </w:p>
    <w:p w14:paraId="28A0A694" w14:textId="5AEE738B" w:rsidR="00C10D58" w:rsidRPr="008522F8" w:rsidRDefault="00B32CCF" w:rsidP="00655459">
      <w:pPr>
        <w:spacing w:after="0" w:line="276" w:lineRule="auto"/>
        <w:ind w:left="0" w:right="0" w:firstLine="0"/>
        <w:rPr>
          <w:color w:val="auto"/>
          <w:szCs w:val="24"/>
        </w:rPr>
      </w:pPr>
      <w:r w:rsidRPr="008522F8">
        <w:rPr>
          <w:b/>
          <w:color w:val="auto"/>
          <w:szCs w:val="24"/>
          <w:u w:val="single" w:color="000000"/>
        </w:rPr>
        <w:t>Dla kosztów pośrednich stosuje się Uproszczone metody rozliczania do 7% stawka</w:t>
      </w:r>
      <w:r w:rsidRPr="008522F8">
        <w:rPr>
          <w:b/>
          <w:color w:val="auto"/>
          <w:szCs w:val="24"/>
        </w:rPr>
        <w:t xml:space="preserve"> </w:t>
      </w:r>
      <w:r w:rsidRPr="008522F8">
        <w:rPr>
          <w:b/>
          <w:color w:val="auto"/>
          <w:szCs w:val="24"/>
          <w:u w:val="single" w:color="000000"/>
        </w:rPr>
        <w:t>ryczałtowa na koszty pośrednie (podstawa wyliczenia: koszty bezpośrednie) [art. 54(a) CPR]</w:t>
      </w:r>
      <w:r w:rsidRPr="008522F8">
        <w:rPr>
          <w:b/>
          <w:color w:val="auto"/>
          <w:szCs w:val="24"/>
        </w:rPr>
        <w:t xml:space="preserve"> </w:t>
      </w:r>
    </w:p>
    <w:p w14:paraId="5E9CDD2D" w14:textId="25EDF92F" w:rsidR="00643600" w:rsidRPr="00E139CB" w:rsidRDefault="00B32CCF" w:rsidP="00655459">
      <w:pPr>
        <w:spacing w:after="55" w:line="276" w:lineRule="auto"/>
        <w:ind w:left="0" w:right="0" w:firstLine="0"/>
        <w:jc w:val="left"/>
        <w:rPr>
          <w:b/>
          <w:color w:val="FF0000"/>
          <w:szCs w:val="24"/>
        </w:rPr>
      </w:pPr>
      <w:r w:rsidRPr="00E139CB">
        <w:rPr>
          <w:b/>
          <w:color w:val="FF0000"/>
          <w:szCs w:val="24"/>
        </w:rPr>
        <w:t xml:space="preserve"> </w:t>
      </w:r>
    </w:p>
    <w:p w14:paraId="001740D8" w14:textId="77777777" w:rsidR="00C10D58" w:rsidRPr="008522F8" w:rsidRDefault="00B32CCF" w:rsidP="00655459">
      <w:pPr>
        <w:pStyle w:val="Nagwek1"/>
        <w:spacing w:line="276" w:lineRule="auto"/>
        <w:ind w:left="242" w:hanging="257"/>
        <w:rPr>
          <w:color w:val="auto"/>
          <w:sz w:val="24"/>
          <w:szCs w:val="24"/>
        </w:rPr>
      </w:pPr>
      <w:r w:rsidRPr="008522F8">
        <w:rPr>
          <w:color w:val="auto"/>
          <w:sz w:val="24"/>
          <w:szCs w:val="24"/>
        </w:rPr>
        <w:t>Wydatki niekwalifikowalne</w:t>
      </w:r>
      <w:r w:rsidRPr="008522F8">
        <w:rPr>
          <w:color w:val="auto"/>
          <w:sz w:val="24"/>
          <w:szCs w:val="24"/>
          <w:u w:val="none"/>
        </w:rPr>
        <w:t xml:space="preserve"> </w:t>
      </w:r>
    </w:p>
    <w:p w14:paraId="6B324324" w14:textId="77777777" w:rsidR="008B21A8" w:rsidRPr="008522F8" w:rsidRDefault="008B21A8" w:rsidP="00655459">
      <w:pPr>
        <w:spacing w:after="0" w:line="276" w:lineRule="auto"/>
        <w:ind w:left="0" w:right="0" w:firstLine="0"/>
        <w:jc w:val="left"/>
        <w:rPr>
          <w:b/>
          <w:color w:val="auto"/>
          <w:szCs w:val="24"/>
        </w:rPr>
      </w:pPr>
      <w:r w:rsidRPr="008522F8">
        <w:rPr>
          <w:b/>
          <w:color w:val="auto"/>
          <w:szCs w:val="24"/>
        </w:rPr>
        <w:t xml:space="preserve">Do wydatków niekwalifikowalnych mogą zostać zaliczone w szczególności: </w:t>
      </w:r>
    </w:p>
    <w:p w14:paraId="4E039BF2" w14:textId="1FAFA206" w:rsidR="00A81356" w:rsidRPr="008522F8" w:rsidRDefault="00A81356" w:rsidP="00655459">
      <w:pPr>
        <w:pStyle w:val="Akapitzlist"/>
        <w:numPr>
          <w:ilvl w:val="0"/>
          <w:numId w:val="11"/>
        </w:numPr>
        <w:spacing w:after="583" w:line="276" w:lineRule="auto"/>
        <w:ind w:left="426" w:right="0"/>
        <w:rPr>
          <w:color w:val="auto"/>
          <w:szCs w:val="24"/>
        </w:rPr>
      </w:pPr>
      <w:r w:rsidRPr="008522F8">
        <w:rPr>
          <w:color w:val="auto"/>
          <w:szCs w:val="24"/>
        </w:rPr>
        <w:t>wydatki wskazane w art. 64 rozporządzenia ogólnego, art. 7 ust. 1 i 5 rozporządzenia EFRR i FS, art. 16 ust. 1 rozporządzenia EFS+, art. 9 rozporządzenia FST</w:t>
      </w:r>
      <w:r w:rsidR="009B4935" w:rsidRPr="008522F8">
        <w:rPr>
          <w:color w:val="auto"/>
          <w:szCs w:val="24"/>
        </w:rPr>
        <w:t>,</w:t>
      </w:r>
    </w:p>
    <w:p w14:paraId="53AFC3E6" w14:textId="77777777" w:rsidR="008522F8" w:rsidRDefault="008B21A8" w:rsidP="00655459">
      <w:pPr>
        <w:pStyle w:val="Akapitzlist"/>
        <w:numPr>
          <w:ilvl w:val="0"/>
          <w:numId w:val="11"/>
        </w:numPr>
        <w:spacing w:after="583" w:line="276" w:lineRule="auto"/>
        <w:ind w:left="426" w:right="0"/>
        <w:rPr>
          <w:color w:val="auto"/>
          <w:szCs w:val="24"/>
        </w:rPr>
      </w:pPr>
      <w:r w:rsidRPr="008522F8">
        <w:rPr>
          <w:color w:val="auto"/>
          <w:szCs w:val="24"/>
        </w:rPr>
        <w:t xml:space="preserve">wydatki ujęte w </w:t>
      </w:r>
      <w:r w:rsidR="00A81356" w:rsidRPr="008522F8">
        <w:rPr>
          <w:color w:val="auto"/>
          <w:szCs w:val="24"/>
        </w:rPr>
        <w:t>p</w:t>
      </w:r>
      <w:r w:rsidRPr="008522F8">
        <w:rPr>
          <w:color w:val="auto"/>
          <w:szCs w:val="24"/>
        </w:rPr>
        <w:t>odrozdziale 2.3. Wydatki niekwalifikowalne Wytycznych Ministra Funduszy i Polityki Regionalnej dotyczących kwalifikowalności wydatków na lata 2021-2027</w:t>
      </w:r>
      <w:r w:rsidR="009B4935" w:rsidRPr="008522F8">
        <w:rPr>
          <w:color w:val="auto"/>
          <w:szCs w:val="24"/>
        </w:rPr>
        <w:t>,</w:t>
      </w:r>
    </w:p>
    <w:p w14:paraId="0C34BE95" w14:textId="22EF5C2C" w:rsidR="008522F8" w:rsidRPr="008522F8" w:rsidRDefault="008522F8" w:rsidP="00655459">
      <w:pPr>
        <w:pStyle w:val="Akapitzlist"/>
        <w:numPr>
          <w:ilvl w:val="0"/>
          <w:numId w:val="11"/>
        </w:numPr>
        <w:spacing w:after="583" w:line="276" w:lineRule="auto"/>
        <w:ind w:left="426" w:right="0"/>
        <w:rPr>
          <w:color w:val="auto"/>
          <w:szCs w:val="24"/>
        </w:rPr>
      </w:pPr>
      <w:r w:rsidRPr="008522F8">
        <w:rPr>
          <w:szCs w:val="24"/>
        </w:rPr>
        <w:t>pozostałe wydatki nie związane z realizacją projektu.</w:t>
      </w:r>
    </w:p>
    <w:p w14:paraId="13CA4FCA" w14:textId="5E8004E9" w:rsidR="009B4935" w:rsidRPr="008522F8" w:rsidRDefault="009B4935" w:rsidP="008522F8">
      <w:pPr>
        <w:spacing w:after="583" w:line="259" w:lineRule="auto"/>
        <w:ind w:left="0" w:right="0" w:firstLine="0"/>
        <w:rPr>
          <w:color w:val="FF0000"/>
          <w:szCs w:val="24"/>
        </w:rPr>
      </w:pPr>
    </w:p>
    <w:p w14:paraId="318D41EE" w14:textId="46C52286" w:rsidR="00C10D58" w:rsidRPr="00E139CB" w:rsidRDefault="009B4935" w:rsidP="009B4935">
      <w:pPr>
        <w:pStyle w:val="Akapitzlist"/>
        <w:spacing w:after="583" w:line="259" w:lineRule="auto"/>
        <w:ind w:right="0" w:firstLine="0"/>
        <w:rPr>
          <w:color w:val="FF0000"/>
          <w:szCs w:val="24"/>
        </w:rPr>
      </w:pPr>
      <w:r w:rsidRPr="00E139CB">
        <w:rPr>
          <w:color w:val="FF0000"/>
          <w:szCs w:val="24"/>
        </w:rPr>
        <w:t xml:space="preserve"> </w:t>
      </w:r>
      <w:r w:rsidR="00B32CCF" w:rsidRPr="00E139CB">
        <w:rPr>
          <w:rFonts w:eastAsia="Calibri"/>
          <w:noProof/>
          <w:color w:val="FF0000"/>
          <w:szCs w:val="24"/>
        </w:rPr>
        <mc:AlternateContent>
          <mc:Choice Requires="wpg">
            <w:drawing>
              <wp:inline distT="0" distB="0" distL="0" distR="0" wp14:anchorId="13271C6F" wp14:editId="5E7A810D">
                <wp:extent cx="1828800" cy="9144"/>
                <wp:effectExtent l="0" t="0" r="0" b="0"/>
                <wp:docPr id="3854" name="Group 3854"/>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4224" name="Shape 4224"/>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54" style="width:144pt;height:0.719971pt;mso-position-horizontal-relative:char;mso-position-vertical-relative:line" coordsize="18288,91">
                <v:shape id="Shape 4225" style="position:absolute;width:18288;height:91;left:0;top:0;" coordsize="1828800,9144" path="m0,0l1828800,0l1828800,9144l0,9144l0,0">
                  <v:stroke weight="0pt" endcap="flat" joinstyle="miter" miterlimit="10" on="false" color="#000000" opacity="0"/>
                  <v:fill on="true" color="#000000"/>
                </v:shape>
              </v:group>
            </w:pict>
          </mc:Fallback>
        </mc:AlternateContent>
      </w:r>
      <w:r w:rsidR="00B32CCF" w:rsidRPr="00E139CB">
        <w:rPr>
          <w:rFonts w:eastAsia="Calibri"/>
          <w:color w:val="FF0000"/>
          <w:szCs w:val="24"/>
        </w:rPr>
        <w:t xml:space="preserve"> </w:t>
      </w:r>
    </w:p>
    <w:sectPr w:rsidR="00C10D58" w:rsidRPr="00E139CB">
      <w:footerReference w:type="even" r:id="rId8"/>
      <w:footerReference w:type="default" r:id="rId9"/>
      <w:footerReference w:type="first" r:id="rId10"/>
      <w:footnotePr>
        <w:numRestart w:val="eachPage"/>
      </w:footnotePr>
      <w:pgSz w:w="11900" w:h="16840"/>
      <w:pgMar w:top="1417" w:right="1407" w:bottom="2069" w:left="1416" w:header="708" w:footer="6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0DB9C" w14:textId="77777777" w:rsidR="00011B95" w:rsidRDefault="00011B95">
      <w:pPr>
        <w:spacing w:after="0" w:line="240" w:lineRule="auto"/>
      </w:pPr>
      <w:r>
        <w:separator/>
      </w:r>
    </w:p>
  </w:endnote>
  <w:endnote w:type="continuationSeparator" w:id="0">
    <w:p w14:paraId="1F47276C" w14:textId="77777777" w:rsidR="00011B95" w:rsidRDefault="0001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38E2D" w14:textId="77777777" w:rsidR="00C10D58" w:rsidRDefault="00B32CCF">
    <w:pPr>
      <w:spacing w:after="878" w:line="259" w:lineRule="auto"/>
      <w:ind w:left="0" w:right="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738235D4" w14:textId="77777777" w:rsidR="00C10D58" w:rsidRDefault="00B32CCF">
    <w:pPr>
      <w:spacing w:after="0" w:line="259" w:lineRule="auto"/>
      <w:ind w:left="0" w:right="-40" w:firstLine="0"/>
      <w:jc w:val="right"/>
    </w:pPr>
    <w:r>
      <w:rPr>
        <w:noProof/>
      </w:rPr>
      <w:drawing>
        <wp:anchor distT="0" distB="0" distL="114300" distR="114300" simplePos="0" relativeHeight="251658240" behindDoc="0" locked="0" layoutInCell="1" allowOverlap="0" wp14:anchorId="5D2B6D66" wp14:editId="6610D54B">
          <wp:simplePos x="0" y="0"/>
          <wp:positionH relativeFrom="page">
            <wp:posOffset>910336</wp:posOffset>
          </wp:positionH>
          <wp:positionV relativeFrom="page">
            <wp:posOffset>9543288</wp:posOffset>
          </wp:positionV>
          <wp:extent cx="5745481" cy="697992"/>
          <wp:effectExtent l="0" t="0" r="0" b="0"/>
          <wp:wrapSquare wrapText="bothSides"/>
          <wp:docPr id="3368"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5515A" w14:textId="62EEE99C" w:rsidR="00C10D58" w:rsidRDefault="00B32CCF" w:rsidP="006D5A36">
    <w:pPr>
      <w:spacing w:after="878" w:line="259" w:lineRule="auto"/>
      <w:ind w:left="0" w:right="5" w:firstLine="0"/>
      <w:jc w:val="center"/>
    </w:pPr>
    <w:r>
      <w:fldChar w:fldCharType="begin"/>
    </w:r>
    <w:r>
      <w:instrText xml:space="preserve"> PAGE   \* MERGEFORMAT </w:instrText>
    </w:r>
    <w:r>
      <w:fldChar w:fldCharType="separate"/>
    </w:r>
    <w:r w:rsidR="0063283B" w:rsidRPr="0063283B">
      <w:rPr>
        <w:noProof/>
        <w:sz w:val="22"/>
      </w:rPr>
      <w:t>4</w:t>
    </w:r>
    <w:r>
      <w:rPr>
        <w:sz w:val="22"/>
      </w:rPr>
      <w:fldChar w:fldCharType="end"/>
    </w:r>
  </w:p>
  <w:p w14:paraId="5C0EE0FB" w14:textId="77777777" w:rsidR="00C10D58" w:rsidRDefault="00B32CCF">
    <w:pPr>
      <w:spacing w:after="0" w:line="259" w:lineRule="auto"/>
      <w:ind w:left="0" w:right="-40" w:firstLine="0"/>
      <w:jc w:val="right"/>
    </w:pPr>
    <w:r>
      <w:rPr>
        <w:noProof/>
      </w:rPr>
      <w:drawing>
        <wp:anchor distT="0" distB="0" distL="114300" distR="114300" simplePos="0" relativeHeight="251659264" behindDoc="0" locked="0" layoutInCell="1" allowOverlap="0" wp14:anchorId="2ED38606" wp14:editId="03C95D9D">
          <wp:simplePos x="0" y="0"/>
          <wp:positionH relativeFrom="page">
            <wp:posOffset>910336</wp:posOffset>
          </wp:positionH>
          <wp:positionV relativeFrom="page">
            <wp:posOffset>9543288</wp:posOffset>
          </wp:positionV>
          <wp:extent cx="5745481" cy="697992"/>
          <wp:effectExtent l="0" t="0" r="0" b="0"/>
          <wp:wrapSquare wrapText="bothSides"/>
          <wp:docPr id="121663793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7C778" w14:textId="77777777" w:rsidR="00C10D58" w:rsidRDefault="00B32CCF">
    <w:pPr>
      <w:spacing w:after="878" w:line="259" w:lineRule="auto"/>
      <w:ind w:left="0" w:right="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14C34F6" w14:textId="77777777" w:rsidR="00C10D58" w:rsidRDefault="00B32CCF">
    <w:pPr>
      <w:spacing w:after="0" w:line="259" w:lineRule="auto"/>
      <w:ind w:left="0" w:right="-40" w:firstLine="0"/>
      <w:jc w:val="right"/>
    </w:pPr>
    <w:r>
      <w:rPr>
        <w:noProof/>
      </w:rPr>
      <w:drawing>
        <wp:anchor distT="0" distB="0" distL="114300" distR="114300" simplePos="0" relativeHeight="251660288" behindDoc="0" locked="0" layoutInCell="1" allowOverlap="0" wp14:anchorId="5F1903CF" wp14:editId="5DB409BE">
          <wp:simplePos x="0" y="0"/>
          <wp:positionH relativeFrom="page">
            <wp:posOffset>910336</wp:posOffset>
          </wp:positionH>
          <wp:positionV relativeFrom="page">
            <wp:posOffset>9543288</wp:posOffset>
          </wp:positionV>
          <wp:extent cx="5745481" cy="697992"/>
          <wp:effectExtent l="0" t="0" r="0" b="0"/>
          <wp:wrapSquare wrapText="bothSides"/>
          <wp:docPr id="40391374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C1C45" w14:textId="77777777" w:rsidR="00011B95" w:rsidRDefault="00011B95">
      <w:pPr>
        <w:spacing w:after="0" w:line="261" w:lineRule="auto"/>
        <w:ind w:left="0" w:right="0" w:firstLine="0"/>
      </w:pPr>
      <w:r>
        <w:separator/>
      </w:r>
    </w:p>
  </w:footnote>
  <w:footnote w:type="continuationSeparator" w:id="0">
    <w:p w14:paraId="5CB0A9F9" w14:textId="77777777" w:rsidR="00011B95" w:rsidRDefault="00011B95">
      <w:pPr>
        <w:spacing w:after="0" w:line="261" w:lineRule="auto"/>
        <w:ind w:left="0" w:right="0" w:firstLine="0"/>
      </w:pPr>
      <w:r>
        <w:continuationSeparator/>
      </w:r>
    </w:p>
  </w:footnote>
  <w:footnote w:id="1">
    <w:p w14:paraId="4EAED504" w14:textId="755E4640" w:rsidR="003D2137" w:rsidRDefault="003D2137">
      <w:pPr>
        <w:pStyle w:val="Tekstprzypisudolnego"/>
      </w:pPr>
      <w:r>
        <w:rPr>
          <w:rStyle w:val="Odwoanieprzypisudolnego"/>
        </w:rPr>
        <w:footnoteRef/>
      </w:r>
      <w:r>
        <w:t xml:space="preserve"> Łączny koszt projektu należy rozumieć jako całkowity koszt projektu obejmujący koszty kwalifikowalne i niekwalifikowalne.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260A"/>
    <w:multiLevelType w:val="hybridMultilevel"/>
    <w:tmpl w:val="225EE9BA"/>
    <w:lvl w:ilvl="0" w:tplc="3C5863E0">
      <w:start w:val="1"/>
      <w:numFmt w:val="upperRoman"/>
      <w:pStyle w:val="Nagwek1"/>
      <w:lvlText w:val="%1."/>
      <w:lvlJc w:val="left"/>
      <w:pPr>
        <w:ind w:left="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1" w:tplc="053E8F0E">
      <w:start w:val="1"/>
      <w:numFmt w:val="lowerLetter"/>
      <w:lvlText w:val="%2"/>
      <w:lvlJc w:val="left"/>
      <w:pPr>
        <w:ind w:left="108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2" w:tplc="7ED29A92">
      <w:start w:val="1"/>
      <w:numFmt w:val="lowerRoman"/>
      <w:lvlText w:val="%3"/>
      <w:lvlJc w:val="left"/>
      <w:pPr>
        <w:ind w:left="180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3" w:tplc="4426C00E">
      <w:start w:val="1"/>
      <w:numFmt w:val="decimal"/>
      <w:lvlText w:val="%4"/>
      <w:lvlJc w:val="left"/>
      <w:pPr>
        <w:ind w:left="252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4" w:tplc="8A767CAC">
      <w:start w:val="1"/>
      <w:numFmt w:val="lowerLetter"/>
      <w:lvlText w:val="%5"/>
      <w:lvlJc w:val="left"/>
      <w:pPr>
        <w:ind w:left="324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5" w:tplc="7A80F642">
      <w:start w:val="1"/>
      <w:numFmt w:val="lowerRoman"/>
      <w:lvlText w:val="%6"/>
      <w:lvlJc w:val="left"/>
      <w:pPr>
        <w:ind w:left="396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6" w:tplc="D39A6596">
      <w:start w:val="1"/>
      <w:numFmt w:val="decimal"/>
      <w:lvlText w:val="%7"/>
      <w:lvlJc w:val="left"/>
      <w:pPr>
        <w:ind w:left="468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7" w:tplc="849A9682">
      <w:start w:val="1"/>
      <w:numFmt w:val="lowerLetter"/>
      <w:lvlText w:val="%8"/>
      <w:lvlJc w:val="left"/>
      <w:pPr>
        <w:ind w:left="540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8" w:tplc="80DC012A">
      <w:start w:val="1"/>
      <w:numFmt w:val="lowerRoman"/>
      <w:lvlText w:val="%9"/>
      <w:lvlJc w:val="left"/>
      <w:pPr>
        <w:ind w:left="612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abstractNum>
  <w:abstractNum w:abstractNumId="1" w15:restartNumberingAfterBreak="0">
    <w:nsid w:val="1DB85578"/>
    <w:multiLevelType w:val="hybridMultilevel"/>
    <w:tmpl w:val="4BEAAF72"/>
    <w:lvl w:ilvl="0" w:tplc="693EE8D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3C56C4D"/>
    <w:multiLevelType w:val="hybridMultilevel"/>
    <w:tmpl w:val="288E2EDC"/>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330871A8"/>
    <w:multiLevelType w:val="hybridMultilevel"/>
    <w:tmpl w:val="00A4E8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EE51E20"/>
    <w:multiLevelType w:val="hybridMultilevel"/>
    <w:tmpl w:val="EAD232B6"/>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412C7E66"/>
    <w:multiLevelType w:val="hybridMultilevel"/>
    <w:tmpl w:val="BF2483F6"/>
    <w:lvl w:ilvl="0" w:tplc="7FDEDD6A">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5D086D"/>
    <w:multiLevelType w:val="hybridMultilevel"/>
    <w:tmpl w:val="D6786FB8"/>
    <w:lvl w:ilvl="0" w:tplc="6E32DA68">
      <w:start w:val="1"/>
      <w:numFmt w:val="decimal"/>
      <w:lvlText w:val="%1."/>
      <w:lvlJc w:val="left"/>
      <w:pPr>
        <w:ind w:left="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0A278E">
      <w:start w:val="1"/>
      <w:numFmt w:val="decimal"/>
      <w:lvlText w:val="%2."/>
      <w:lvlJc w:val="left"/>
      <w:pPr>
        <w:ind w:left="7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0C611C">
      <w:start w:val="1"/>
      <w:numFmt w:val="lowerRoman"/>
      <w:lvlText w:val="%3"/>
      <w:lvlJc w:val="left"/>
      <w:pPr>
        <w:ind w:left="1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0E0B90">
      <w:start w:val="1"/>
      <w:numFmt w:val="decimal"/>
      <w:lvlText w:val="%4"/>
      <w:lvlJc w:val="left"/>
      <w:pPr>
        <w:ind w:left="2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7AFB98">
      <w:start w:val="1"/>
      <w:numFmt w:val="lowerLetter"/>
      <w:lvlText w:val="%5"/>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D38C56A">
      <w:start w:val="1"/>
      <w:numFmt w:val="lowerRoman"/>
      <w:lvlText w:val="%6"/>
      <w:lvlJc w:val="left"/>
      <w:pPr>
        <w:ind w:left="3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84B412">
      <w:start w:val="1"/>
      <w:numFmt w:val="decimal"/>
      <w:lvlText w:val="%7"/>
      <w:lvlJc w:val="left"/>
      <w:pPr>
        <w:ind w:left="4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0CABC0">
      <w:start w:val="1"/>
      <w:numFmt w:val="lowerLetter"/>
      <w:lvlText w:val="%8"/>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778ABC2">
      <w:start w:val="1"/>
      <w:numFmt w:val="lowerRoman"/>
      <w:lvlText w:val="%9"/>
      <w:lvlJc w:val="left"/>
      <w:pPr>
        <w:ind w:left="5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43B40B8"/>
    <w:multiLevelType w:val="hybridMultilevel"/>
    <w:tmpl w:val="3C641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670DC3"/>
    <w:multiLevelType w:val="hybridMultilevel"/>
    <w:tmpl w:val="4B682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1C62BE"/>
    <w:multiLevelType w:val="hybridMultilevel"/>
    <w:tmpl w:val="A4AE4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3A936FB"/>
    <w:multiLevelType w:val="hybridMultilevel"/>
    <w:tmpl w:val="EC9CCB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196098"/>
    <w:multiLevelType w:val="hybridMultilevel"/>
    <w:tmpl w:val="E84A0422"/>
    <w:lvl w:ilvl="0" w:tplc="CA743962">
      <w:start w:val="1"/>
      <w:numFmt w:val="lowerLetter"/>
      <w:lvlText w:val="%1)"/>
      <w:lvlJc w:val="left"/>
      <w:pPr>
        <w:ind w:left="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04009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88C9D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363E8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1AEF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E2CDE5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6B0B82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0ACD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1C2C4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E75B52"/>
    <w:multiLevelType w:val="hybridMultilevel"/>
    <w:tmpl w:val="EC9CCB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D28100A"/>
    <w:multiLevelType w:val="hybridMultilevel"/>
    <w:tmpl w:val="16F88C9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087299"/>
    <w:multiLevelType w:val="hybridMultilevel"/>
    <w:tmpl w:val="5950A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296658"/>
    <w:multiLevelType w:val="hybridMultilevel"/>
    <w:tmpl w:val="8DBE31FE"/>
    <w:lvl w:ilvl="0" w:tplc="59BCFA1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5177533">
    <w:abstractNumId w:val="11"/>
  </w:num>
  <w:num w:numId="2" w16cid:durableId="1304852929">
    <w:abstractNumId w:val="6"/>
  </w:num>
  <w:num w:numId="3" w16cid:durableId="2098940032">
    <w:abstractNumId w:val="0"/>
  </w:num>
  <w:num w:numId="4" w16cid:durableId="1467115640">
    <w:abstractNumId w:val="8"/>
  </w:num>
  <w:num w:numId="5" w16cid:durableId="351683413">
    <w:abstractNumId w:val="14"/>
  </w:num>
  <w:num w:numId="6" w16cid:durableId="985625222">
    <w:abstractNumId w:val="7"/>
  </w:num>
  <w:num w:numId="7" w16cid:durableId="1334526614">
    <w:abstractNumId w:val="9"/>
  </w:num>
  <w:num w:numId="8" w16cid:durableId="79566251">
    <w:abstractNumId w:val="15"/>
  </w:num>
  <w:num w:numId="9" w16cid:durableId="1518353458">
    <w:abstractNumId w:val="5"/>
  </w:num>
  <w:num w:numId="10" w16cid:durableId="1003628495">
    <w:abstractNumId w:val="13"/>
  </w:num>
  <w:num w:numId="11" w16cid:durableId="466708973">
    <w:abstractNumId w:val="12"/>
  </w:num>
  <w:num w:numId="12" w16cid:durableId="64495115">
    <w:abstractNumId w:val="4"/>
  </w:num>
  <w:num w:numId="13" w16cid:durableId="120542320">
    <w:abstractNumId w:val="2"/>
  </w:num>
  <w:num w:numId="14" w16cid:durableId="1761219185">
    <w:abstractNumId w:val="10"/>
  </w:num>
  <w:num w:numId="15" w16cid:durableId="1509295024">
    <w:abstractNumId w:val="3"/>
  </w:num>
  <w:num w:numId="16" w16cid:durableId="1409423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D58"/>
    <w:rsid w:val="00011B95"/>
    <w:rsid w:val="0002586A"/>
    <w:rsid w:val="000303C9"/>
    <w:rsid w:val="00070B73"/>
    <w:rsid w:val="000D797B"/>
    <w:rsid w:val="00183315"/>
    <w:rsid w:val="0019699D"/>
    <w:rsid w:val="001A6E70"/>
    <w:rsid w:val="001C1C5E"/>
    <w:rsid w:val="001F3E94"/>
    <w:rsid w:val="001F69CF"/>
    <w:rsid w:val="00220852"/>
    <w:rsid w:val="00222CE4"/>
    <w:rsid w:val="00227A1F"/>
    <w:rsid w:val="002361AB"/>
    <w:rsid w:val="0025672B"/>
    <w:rsid w:val="002A3757"/>
    <w:rsid w:val="002E6C59"/>
    <w:rsid w:val="00310067"/>
    <w:rsid w:val="0031382F"/>
    <w:rsid w:val="003659CB"/>
    <w:rsid w:val="003B5B03"/>
    <w:rsid w:val="003D2137"/>
    <w:rsid w:val="00406CB2"/>
    <w:rsid w:val="00447D56"/>
    <w:rsid w:val="00456021"/>
    <w:rsid w:val="00461FAE"/>
    <w:rsid w:val="00465572"/>
    <w:rsid w:val="004773E6"/>
    <w:rsid w:val="00481450"/>
    <w:rsid w:val="004A0890"/>
    <w:rsid w:val="005132FD"/>
    <w:rsid w:val="00514782"/>
    <w:rsid w:val="00543FD2"/>
    <w:rsid w:val="0054432F"/>
    <w:rsid w:val="0054520D"/>
    <w:rsid w:val="00565E78"/>
    <w:rsid w:val="005666D5"/>
    <w:rsid w:val="005A4B49"/>
    <w:rsid w:val="005C0F41"/>
    <w:rsid w:val="005D0A30"/>
    <w:rsid w:val="005F1CDC"/>
    <w:rsid w:val="0063283B"/>
    <w:rsid w:val="00643600"/>
    <w:rsid w:val="00655459"/>
    <w:rsid w:val="00684ECE"/>
    <w:rsid w:val="0069750F"/>
    <w:rsid w:val="006D5A36"/>
    <w:rsid w:val="00731FBB"/>
    <w:rsid w:val="007447BC"/>
    <w:rsid w:val="00755653"/>
    <w:rsid w:val="0076656A"/>
    <w:rsid w:val="007A617E"/>
    <w:rsid w:val="007C1647"/>
    <w:rsid w:val="007F451E"/>
    <w:rsid w:val="00836576"/>
    <w:rsid w:val="008522F8"/>
    <w:rsid w:val="008B21A8"/>
    <w:rsid w:val="00915FC9"/>
    <w:rsid w:val="009167D9"/>
    <w:rsid w:val="00962359"/>
    <w:rsid w:val="00982EC1"/>
    <w:rsid w:val="00994E81"/>
    <w:rsid w:val="009A4AB0"/>
    <w:rsid w:val="009A5BC8"/>
    <w:rsid w:val="009B4935"/>
    <w:rsid w:val="00A14559"/>
    <w:rsid w:val="00A346C5"/>
    <w:rsid w:val="00A41E7C"/>
    <w:rsid w:val="00A81356"/>
    <w:rsid w:val="00AA002F"/>
    <w:rsid w:val="00AD4101"/>
    <w:rsid w:val="00AF5ED9"/>
    <w:rsid w:val="00B17364"/>
    <w:rsid w:val="00B2782D"/>
    <w:rsid w:val="00B31264"/>
    <w:rsid w:val="00B32CCF"/>
    <w:rsid w:val="00B532AB"/>
    <w:rsid w:val="00B631B1"/>
    <w:rsid w:val="00B6504B"/>
    <w:rsid w:val="00B74D34"/>
    <w:rsid w:val="00BD07BA"/>
    <w:rsid w:val="00C10D58"/>
    <w:rsid w:val="00C33E27"/>
    <w:rsid w:val="00C663F9"/>
    <w:rsid w:val="00C77844"/>
    <w:rsid w:val="00C94CF1"/>
    <w:rsid w:val="00CB2151"/>
    <w:rsid w:val="00CB6D5C"/>
    <w:rsid w:val="00CC4DF6"/>
    <w:rsid w:val="00CD2C5E"/>
    <w:rsid w:val="00CF2AB1"/>
    <w:rsid w:val="00CF6757"/>
    <w:rsid w:val="00D1180A"/>
    <w:rsid w:val="00D27021"/>
    <w:rsid w:val="00D5383B"/>
    <w:rsid w:val="00D74318"/>
    <w:rsid w:val="00DE1FB0"/>
    <w:rsid w:val="00DE4922"/>
    <w:rsid w:val="00DF227B"/>
    <w:rsid w:val="00DF4FE2"/>
    <w:rsid w:val="00E04A52"/>
    <w:rsid w:val="00E139CB"/>
    <w:rsid w:val="00E55286"/>
    <w:rsid w:val="00EA21F7"/>
    <w:rsid w:val="00EE4C65"/>
    <w:rsid w:val="00F131DE"/>
    <w:rsid w:val="00F249FC"/>
    <w:rsid w:val="00F26E81"/>
    <w:rsid w:val="00F42E96"/>
    <w:rsid w:val="00F81E5F"/>
    <w:rsid w:val="00F82AC2"/>
    <w:rsid w:val="00FA7A93"/>
    <w:rsid w:val="00FB45D4"/>
    <w:rsid w:val="00FE0225"/>
    <w:rsid w:val="00FE3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B74E9"/>
  <w15:docId w15:val="{F1E58E01-A2A8-4F6B-9FB0-4E1E886E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268" w:lineRule="auto"/>
      <w:ind w:left="10" w:right="2" w:hanging="10"/>
      <w:jc w:val="both"/>
    </w:pPr>
    <w:rPr>
      <w:rFonts w:ascii="Arial" w:eastAsia="Arial" w:hAnsi="Arial" w:cs="Arial"/>
      <w:color w:val="000000"/>
      <w:sz w:val="24"/>
    </w:rPr>
  </w:style>
  <w:style w:type="paragraph" w:styleId="Nagwek1">
    <w:name w:val="heading 1"/>
    <w:next w:val="Normalny"/>
    <w:link w:val="Nagwek1Znak"/>
    <w:uiPriority w:val="9"/>
    <w:qFormat/>
    <w:pPr>
      <w:keepNext/>
      <w:keepLines/>
      <w:numPr>
        <w:numId w:val="3"/>
      </w:numPr>
      <w:spacing w:after="0"/>
      <w:ind w:left="10" w:hanging="10"/>
      <w:outlineLvl w:val="0"/>
    </w:pPr>
    <w:rPr>
      <w:rFonts w:ascii="Arial" w:eastAsia="Arial" w:hAnsi="Arial" w:cs="Arial"/>
      <w:b/>
      <w:color w:val="000000"/>
      <w:sz w:val="28"/>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u w:val="single" w:color="000000"/>
    </w:rPr>
  </w:style>
  <w:style w:type="paragraph" w:customStyle="1" w:styleId="footnotedescription">
    <w:name w:val="footnote description"/>
    <w:next w:val="Normalny"/>
    <w:link w:val="footnotedescriptionChar"/>
    <w:hidden/>
    <w:pPr>
      <w:spacing w:after="0" w:line="261" w:lineRule="auto"/>
      <w:jc w:val="both"/>
    </w:pPr>
    <w:rPr>
      <w:rFonts w:ascii="Arial" w:eastAsia="Arial" w:hAnsi="Arial" w:cs="Arial"/>
      <w:i/>
      <w:color w:val="000000"/>
      <w:sz w:val="20"/>
    </w:rPr>
  </w:style>
  <w:style w:type="character" w:customStyle="1" w:styleId="footnotedescriptionChar">
    <w:name w:val="footnote description Char"/>
    <w:link w:val="footnotedescription"/>
    <w:rPr>
      <w:rFonts w:ascii="Arial" w:eastAsia="Arial" w:hAnsi="Arial" w:cs="Arial"/>
      <w:i/>
      <w:color w:val="000000"/>
      <w:sz w:val="20"/>
    </w:rPr>
  </w:style>
  <w:style w:type="character" w:customStyle="1" w:styleId="footnotemark">
    <w:name w:val="footnote mark"/>
    <w:hidden/>
    <w:rPr>
      <w:rFonts w:ascii="Arial" w:eastAsia="Arial" w:hAnsi="Arial" w:cs="Arial"/>
      <w:color w:val="000000"/>
      <w:sz w:val="20"/>
      <w:vertAlign w:val="superscript"/>
    </w:rPr>
  </w:style>
  <w:style w:type="paragraph" w:styleId="Akapitzlist">
    <w:name w:val="List Paragraph"/>
    <w:aliases w:val="Numerowanie,List Paragraph,Akapit z listą BS"/>
    <w:basedOn w:val="Normalny"/>
    <w:link w:val="AkapitzlistZnak"/>
    <w:uiPriority w:val="34"/>
    <w:qFormat/>
    <w:rsid w:val="00B17364"/>
    <w:pPr>
      <w:ind w:left="720"/>
      <w:contextualSpacing/>
    </w:pPr>
  </w:style>
  <w:style w:type="character" w:styleId="Odwoaniedokomentarza">
    <w:name w:val="annotation reference"/>
    <w:basedOn w:val="Domylnaczcionkaakapitu"/>
    <w:uiPriority w:val="99"/>
    <w:semiHidden/>
    <w:unhideWhenUsed/>
    <w:rsid w:val="0069750F"/>
    <w:rPr>
      <w:sz w:val="16"/>
      <w:szCs w:val="16"/>
    </w:rPr>
  </w:style>
  <w:style w:type="paragraph" w:styleId="Tekstkomentarza">
    <w:name w:val="annotation text"/>
    <w:basedOn w:val="Normalny"/>
    <w:link w:val="TekstkomentarzaZnak"/>
    <w:uiPriority w:val="99"/>
    <w:semiHidden/>
    <w:unhideWhenUsed/>
    <w:rsid w:val="006975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750F"/>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9750F"/>
    <w:rPr>
      <w:b/>
      <w:bCs/>
    </w:rPr>
  </w:style>
  <w:style w:type="character" w:customStyle="1" w:styleId="TematkomentarzaZnak">
    <w:name w:val="Temat komentarza Znak"/>
    <w:basedOn w:val="TekstkomentarzaZnak"/>
    <w:link w:val="Tematkomentarza"/>
    <w:uiPriority w:val="99"/>
    <w:semiHidden/>
    <w:rsid w:val="0069750F"/>
    <w:rPr>
      <w:rFonts w:ascii="Arial" w:eastAsia="Arial" w:hAnsi="Arial" w:cs="Arial"/>
      <w:b/>
      <w:bCs/>
      <w:color w:val="000000"/>
      <w:sz w:val="20"/>
      <w:szCs w:val="20"/>
    </w:rPr>
  </w:style>
  <w:style w:type="paragraph" w:styleId="Poprawka">
    <w:name w:val="Revision"/>
    <w:hidden/>
    <w:uiPriority w:val="99"/>
    <w:semiHidden/>
    <w:rsid w:val="0069750F"/>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731F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FBB"/>
    <w:rPr>
      <w:rFonts w:ascii="Segoe UI" w:eastAsia="Arial" w:hAnsi="Segoe UI" w:cs="Segoe UI"/>
      <w:color w:val="000000"/>
      <w:sz w:val="18"/>
      <w:szCs w:val="18"/>
    </w:rPr>
  </w:style>
  <w:style w:type="paragraph" w:styleId="Nagwek">
    <w:name w:val="header"/>
    <w:basedOn w:val="Normalny"/>
    <w:link w:val="NagwekZnak"/>
    <w:uiPriority w:val="99"/>
    <w:unhideWhenUsed/>
    <w:rsid w:val="006D5A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A36"/>
    <w:rPr>
      <w:rFonts w:ascii="Arial" w:eastAsia="Arial" w:hAnsi="Arial" w:cs="Arial"/>
      <w:color w:val="000000"/>
      <w:sz w:val="24"/>
    </w:rPr>
  </w:style>
  <w:style w:type="paragraph" w:styleId="Tekstprzypisudolnego">
    <w:name w:val="footnote text"/>
    <w:basedOn w:val="Normalny"/>
    <w:link w:val="TekstprzypisudolnegoZnak"/>
    <w:uiPriority w:val="99"/>
    <w:semiHidden/>
    <w:unhideWhenUsed/>
    <w:rsid w:val="003D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2137"/>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D2137"/>
    <w:rPr>
      <w:vertAlign w:val="superscript"/>
    </w:rPr>
  </w:style>
  <w:style w:type="character" w:customStyle="1" w:styleId="AkapitzlistZnak">
    <w:name w:val="Akapit z listą Znak"/>
    <w:aliases w:val="Numerowanie Znak,List Paragraph Znak,Akapit z listą BS Znak"/>
    <w:basedOn w:val="Domylnaczcionkaakapitu"/>
    <w:link w:val="Akapitzlist"/>
    <w:uiPriority w:val="34"/>
    <w:rsid w:val="00DE1FB0"/>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A30AB-4AC7-411B-8769-A74550A3C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5</Pages>
  <Words>1530</Words>
  <Characters>9181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Katalog wydatków FELB.02.09-IZ.00-001_23</vt:lpstr>
    </vt:vector>
  </TitlesOfParts>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wydatków FELB.02.09-IZ.00-001_23</dc:title>
  <dc:subject/>
  <dc:creator>a.ogorzalek</dc:creator>
  <cp:keywords/>
  <cp:lastModifiedBy>Korach Angelika</cp:lastModifiedBy>
  <cp:revision>50</cp:revision>
  <cp:lastPrinted>2024-03-18T06:58:00Z</cp:lastPrinted>
  <dcterms:created xsi:type="dcterms:W3CDTF">2023-09-15T08:28:00Z</dcterms:created>
  <dcterms:modified xsi:type="dcterms:W3CDTF">2024-11-12T07:33:00Z</dcterms:modified>
</cp:coreProperties>
</file>