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C1046" w14:textId="77777777" w:rsidR="00B90BEA" w:rsidRPr="00B90BEA" w:rsidRDefault="00B90BEA" w:rsidP="00B90BEA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pacing w:before="240" w:after="0" w:line="240" w:lineRule="auto"/>
        <w:jc w:val="center"/>
        <w:rPr>
          <w:b/>
          <w:bCs/>
          <w:color w:val="0070C0"/>
          <w:sz w:val="16"/>
          <w:szCs w:val="16"/>
        </w:rPr>
      </w:pPr>
      <w:bookmarkStart w:id="0" w:name="_Hlk185176273"/>
    </w:p>
    <w:p w14:paraId="22B7F0C2" w14:textId="2DCC3644" w:rsidR="00051B76" w:rsidRPr="00856D5F" w:rsidRDefault="00697748" w:rsidP="00856D5F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pacing w:after="120" w:line="240" w:lineRule="auto"/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  <w:r w:rsidRPr="00FB2F93">
        <w:rPr>
          <w:rFonts w:ascii="Arial" w:hAnsi="Arial" w:cs="Arial"/>
          <w:b/>
          <w:bCs/>
          <w:color w:val="0070C0"/>
          <w:sz w:val="36"/>
          <w:szCs w:val="36"/>
        </w:rPr>
        <w:t>S</w:t>
      </w:r>
      <w:r w:rsidR="006732B5">
        <w:rPr>
          <w:rFonts w:ascii="Arial" w:hAnsi="Arial" w:cs="Arial"/>
          <w:b/>
          <w:bCs/>
          <w:color w:val="0070C0"/>
          <w:sz w:val="36"/>
          <w:szCs w:val="36"/>
        </w:rPr>
        <w:t xml:space="preserve">potkanie edukacyjne </w:t>
      </w:r>
      <w:r w:rsidR="004E6035" w:rsidRPr="00FB2F93">
        <w:rPr>
          <w:rFonts w:ascii="Arial" w:hAnsi="Arial" w:cs="Arial"/>
          <w:b/>
          <w:bCs/>
          <w:color w:val="0070C0"/>
          <w:sz w:val="36"/>
          <w:szCs w:val="36"/>
        </w:rPr>
        <w:t>„</w:t>
      </w:r>
      <w:r w:rsidR="00FB2F93" w:rsidRPr="00FB2F93">
        <w:rPr>
          <w:rFonts w:ascii="Arial" w:hAnsi="Arial" w:cs="Arial"/>
          <w:b/>
          <w:bCs/>
          <w:color w:val="0070C0"/>
          <w:sz w:val="36"/>
          <w:szCs w:val="36"/>
        </w:rPr>
        <w:t>Skuteczne zarządzanie i finansowanie procesów</w:t>
      </w:r>
      <w:r w:rsidR="00FB2F93">
        <w:rPr>
          <w:rFonts w:ascii="Arial" w:hAnsi="Arial" w:cs="Arial"/>
          <w:b/>
          <w:bCs/>
          <w:color w:val="0070C0"/>
          <w:sz w:val="36"/>
          <w:szCs w:val="36"/>
        </w:rPr>
        <w:t xml:space="preserve"> </w:t>
      </w:r>
      <w:r w:rsidR="00FB2F93" w:rsidRPr="00FB2F93">
        <w:rPr>
          <w:rFonts w:ascii="Arial" w:hAnsi="Arial" w:cs="Arial"/>
          <w:b/>
          <w:bCs/>
          <w:color w:val="0070C0"/>
          <w:sz w:val="36"/>
          <w:szCs w:val="36"/>
        </w:rPr>
        <w:t>rewitalizacji</w:t>
      </w:r>
      <w:r w:rsidR="004E6035" w:rsidRPr="00FB2F93">
        <w:rPr>
          <w:rFonts w:ascii="Arial" w:hAnsi="Arial" w:cs="Arial"/>
          <w:b/>
          <w:bCs/>
          <w:color w:val="0070C0"/>
          <w:sz w:val="36"/>
          <w:szCs w:val="36"/>
        </w:rPr>
        <w:t>”</w:t>
      </w:r>
    </w:p>
    <w:p w14:paraId="790E8032" w14:textId="3972F3CD" w:rsidR="00697748" w:rsidRPr="00051B76" w:rsidRDefault="006E71C6" w:rsidP="006E71C6">
      <w:pPr>
        <w:jc w:val="center"/>
        <w:rPr>
          <w:rFonts w:ascii="Arial" w:hAnsi="Arial" w:cs="Arial"/>
          <w:b/>
          <w:bCs/>
          <w:color w:val="0070C0"/>
          <w:sz w:val="32"/>
          <w:szCs w:val="32"/>
        </w:rPr>
      </w:pPr>
      <w:r w:rsidRPr="00051B76">
        <w:rPr>
          <w:rFonts w:ascii="Arial" w:hAnsi="Arial" w:cs="Arial"/>
          <w:b/>
          <w:bCs/>
          <w:color w:val="0070C0"/>
          <w:sz w:val="32"/>
          <w:szCs w:val="32"/>
        </w:rPr>
        <w:t>P</w:t>
      </w:r>
      <w:r w:rsidR="00697748" w:rsidRPr="00051B76">
        <w:rPr>
          <w:rFonts w:ascii="Arial" w:hAnsi="Arial" w:cs="Arial"/>
          <w:b/>
          <w:bCs/>
          <w:color w:val="0070C0"/>
          <w:sz w:val="32"/>
          <w:szCs w:val="32"/>
        </w:rPr>
        <w:t>rogram s</w:t>
      </w:r>
      <w:r w:rsidR="006732B5">
        <w:rPr>
          <w:rFonts w:ascii="Arial" w:hAnsi="Arial" w:cs="Arial"/>
          <w:b/>
          <w:bCs/>
          <w:color w:val="0070C0"/>
          <w:sz w:val="32"/>
          <w:szCs w:val="32"/>
        </w:rPr>
        <w:t>potkania edukacyjnego</w:t>
      </w:r>
    </w:p>
    <w:tbl>
      <w:tblPr>
        <w:tblStyle w:val="Zwykatabela1"/>
        <w:tblW w:w="9493" w:type="dxa"/>
        <w:tblLook w:val="0400" w:firstRow="0" w:lastRow="0" w:firstColumn="0" w:lastColumn="0" w:noHBand="0" w:noVBand="1"/>
      </w:tblPr>
      <w:tblGrid>
        <w:gridCol w:w="1696"/>
        <w:gridCol w:w="7797"/>
      </w:tblGrid>
      <w:tr w:rsidR="009629DA" w:rsidRPr="007E463B" w14:paraId="0DF782D5" w14:textId="3E565945" w:rsidTr="00962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  <w:vAlign w:val="center"/>
            <w:hideMark/>
          </w:tcPr>
          <w:p w14:paraId="3052ABCF" w14:textId="0629D676" w:rsidR="009629DA" w:rsidRPr="007E463B" w:rsidRDefault="00860E14" w:rsidP="008F5E7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9629DA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629DA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F5E71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9629DA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797" w:type="dxa"/>
          </w:tcPr>
          <w:p w14:paraId="11AB83BC" w14:textId="37FF1743" w:rsidR="00860E14" w:rsidRPr="007E463B" w:rsidRDefault="00860E14" w:rsidP="00D82ADF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E463B">
              <w:rPr>
                <w:rFonts w:ascii="Arial" w:hAnsi="Arial" w:cs="Arial"/>
                <w:sz w:val="24"/>
                <w:szCs w:val="24"/>
              </w:rPr>
              <w:t>Powitanie, prezentacja programu i przedstawienie się uczestników s</w:t>
            </w:r>
            <w:r w:rsidR="002F19CA">
              <w:rPr>
                <w:rFonts w:ascii="Arial" w:hAnsi="Arial" w:cs="Arial"/>
                <w:sz w:val="24"/>
                <w:szCs w:val="24"/>
              </w:rPr>
              <w:t>potkania</w:t>
            </w:r>
          </w:p>
        </w:tc>
      </w:tr>
      <w:tr w:rsidR="00DB0688" w:rsidRPr="007E463B" w14:paraId="40FA6AE9" w14:textId="7BE98AB3" w:rsidTr="009629DA">
        <w:trPr>
          <w:trHeight w:val="397"/>
        </w:trPr>
        <w:tc>
          <w:tcPr>
            <w:tcW w:w="1696" w:type="dxa"/>
            <w:vAlign w:val="center"/>
            <w:hideMark/>
          </w:tcPr>
          <w:p w14:paraId="6B62CE83" w14:textId="48AB28FC" w:rsidR="00DB0688" w:rsidRPr="007E463B" w:rsidRDefault="00DB0688" w:rsidP="00DB0688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9.10 – 9.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797" w:type="dxa"/>
          </w:tcPr>
          <w:p w14:paraId="0BF140C3" w14:textId="3F58864D" w:rsidR="00C007A0" w:rsidRPr="00C007A0" w:rsidRDefault="00C007A0" w:rsidP="00DB068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C007A0">
              <w:rPr>
                <w:rFonts w:ascii="Arial" w:hAnsi="Arial" w:cs="Arial"/>
                <w:sz w:val="24"/>
                <w:szCs w:val="24"/>
              </w:rPr>
              <w:t>CZĘŚĆ I: SKUTECZNE ZARZĄDZANIE PROCESEM REWITALIZACJI W GMINACH</w:t>
            </w:r>
          </w:p>
          <w:p w14:paraId="497AF933" w14:textId="55ED4EB4" w:rsidR="00E77B25" w:rsidRPr="00051B76" w:rsidRDefault="00312AC5" w:rsidP="00DB068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Rewitalizacja jako proces – od czego naprawdę zaczynamy rewitalizację w gminie (lub jak ją modyfikujemy)?</w:t>
            </w:r>
          </w:p>
        </w:tc>
      </w:tr>
      <w:tr w:rsidR="00312AC5" w:rsidRPr="007E463B" w14:paraId="63E2B42D" w14:textId="77777777" w:rsidTr="00F8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  <w:vAlign w:val="center"/>
          </w:tcPr>
          <w:p w14:paraId="2A03FF3D" w14:textId="77777777" w:rsidR="00312AC5" w:rsidRPr="007E463B" w:rsidRDefault="00312AC5" w:rsidP="00F8769E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.5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797" w:type="dxa"/>
          </w:tcPr>
          <w:p w14:paraId="76638B44" w14:textId="77777777" w:rsidR="00312AC5" w:rsidRPr="00051B76" w:rsidRDefault="00312AC5" w:rsidP="00F8769E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Zespół rewitalizacyjny – czyli kto w gminie faktycznie robi rewitalizację</w:t>
            </w:r>
          </w:p>
        </w:tc>
      </w:tr>
      <w:tr w:rsidR="00312AC5" w:rsidRPr="007E463B" w14:paraId="64288BAC" w14:textId="77777777" w:rsidTr="00F8769E">
        <w:trPr>
          <w:trHeight w:val="397"/>
        </w:trPr>
        <w:tc>
          <w:tcPr>
            <w:tcW w:w="1696" w:type="dxa"/>
            <w:vAlign w:val="center"/>
          </w:tcPr>
          <w:p w14:paraId="50908AE4" w14:textId="77777777" w:rsidR="00312AC5" w:rsidRPr="007E463B" w:rsidRDefault="00312AC5" w:rsidP="00F8769E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9.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797" w:type="dxa"/>
          </w:tcPr>
          <w:p w14:paraId="542D2D1D" w14:textId="77777777" w:rsidR="00312AC5" w:rsidRPr="00051B76" w:rsidRDefault="00312AC5" w:rsidP="00F8769E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Warsztat - „Mapa zasobów urzędu” - czyli współpraca wewnętrzna w urzędzie – jak połączyć „silosy” oraz zmaksymalizować grono osób prowadzących rewitalizację</w:t>
            </w:r>
          </w:p>
        </w:tc>
      </w:tr>
      <w:tr w:rsidR="00DB0688" w:rsidRPr="007E463B" w14:paraId="6B6C4E9E" w14:textId="0DB70341" w:rsidTr="00C74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  <w:vAlign w:val="center"/>
          </w:tcPr>
          <w:p w14:paraId="1075BC42" w14:textId="0C2A6909" w:rsidR="00DB0688" w:rsidRPr="007E463B" w:rsidRDefault="00DC30B6" w:rsidP="00DB068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DB0688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DB0688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DB0688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7797" w:type="dxa"/>
          </w:tcPr>
          <w:p w14:paraId="41049367" w14:textId="30FC5733" w:rsidR="00036364" w:rsidRPr="00051B76" w:rsidRDefault="00DC30B6" w:rsidP="00DB068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Różne gminy – różne podejścia do zarządzania rewitalizacją</w:t>
            </w:r>
          </w:p>
        </w:tc>
      </w:tr>
      <w:tr w:rsidR="00DB0688" w:rsidRPr="007E463B" w14:paraId="4CFE7086" w14:textId="6797B87F" w:rsidTr="009629DA">
        <w:trPr>
          <w:trHeight w:val="397"/>
        </w:trPr>
        <w:tc>
          <w:tcPr>
            <w:tcW w:w="1696" w:type="dxa"/>
            <w:vAlign w:val="center"/>
          </w:tcPr>
          <w:p w14:paraId="7D3EF2B6" w14:textId="5BABDA8F" w:rsidR="00DB0688" w:rsidRPr="007E463B" w:rsidRDefault="00DB0688" w:rsidP="00DB068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10.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="00A669E5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A669E5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797" w:type="dxa"/>
          </w:tcPr>
          <w:p w14:paraId="428DD76C" w14:textId="35F8061F" w:rsidR="00DB0688" w:rsidRPr="00051B76" w:rsidRDefault="00DB0688" w:rsidP="00DB068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Przerwa</w:t>
            </w:r>
          </w:p>
        </w:tc>
      </w:tr>
      <w:tr w:rsidR="00DC30B6" w:rsidRPr="007E463B" w14:paraId="783C0909" w14:textId="77777777" w:rsidTr="00F8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  <w:vAlign w:val="center"/>
          </w:tcPr>
          <w:p w14:paraId="05323036" w14:textId="6AEC94C3" w:rsidR="00DC30B6" w:rsidRPr="007E463B" w:rsidRDefault="00DC30B6" w:rsidP="00F8769E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.0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.4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797" w:type="dxa"/>
          </w:tcPr>
          <w:p w14:paraId="71703206" w14:textId="77777777" w:rsidR="00DC30B6" w:rsidRPr="00051B76" w:rsidRDefault="00DC30B6" w:rsidP="00F8769E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Warsztat - Rewitalizacja w działaniu – jak poukładać proces w praktyce</w:t>
            </w:r>
          </w:p>
        </w:tc>
      </w:tr>
      <w:tr w:rsidR="00DC30B6" w:rsidRPr="007E463B" w14:paraId="74406F52" w14:textId="77777777" w:rsidTr="00F8769E">
        <w:trPr>
          <w:trHeight w:val="397"/>
        </w:trPr>
        <w:tc>
          <w:tcPr>
            <w:tcW w:w="1696" w:type="dxa"/>
            <w:vAlign w:val="center"/>
          </w:tcPr>
          <w:p w14:paraId="65FBF015" w14:textId="77777777" w:rsidR="00DC30B6" w:rsidRPr="007E463B" w:rsidRDefault="00DC30B6" w:rsidP="00F8769E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797" w:type="dxa"/>
          </w:tcPr>
          <w:p w14:paraId="7EC7D980" w14:textId="3696061C" w:rsidR="00C007A0" w:rsidRPr="00C007A0" w:rsidRDefault="00C007A0" w:rsidP="00C007A0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C007A0">
              <w:rPr>
                <w:rFonts w:ascii="Arial" w:hAnsi="Arial" w:cs="Arial"/>
                <w:sz w:val="24"/>
                <w:szCs w:val="24"/>
              </w:rPr>
              <w:t xml:space="preserve">CZĘŚĆ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C007A0">
              <w:rPr>
                <w:rFonts w:ascii="Arial" w:hAnsi="Arial" w:cs="Arial"/>
                <w:sz w:val="24"/>
                <w:szCs w:val="24"/>
              </w:rPr>
              <w:t xml:space="preserve">I: </w:t>
            </w:r>
            <w:r w:rsidR="000869AA" w:rsidRPr="000869AA">
              <w:rPr>
                <w:rFonts w:ascii="Arial" w:hAnsi="Arial" w:cs="Arial"/>
                <w:sz w:val="24"/>
                <w:szCs w:val="24"/>
              </w:rPr>
              <w:t>FINANSOWANIE REWITALIZACJI I MOBILIZOWANIE PARTNERÓW</w:t>
            </w:r>
          </w:p>
          <w:p w14:paraId="0D363949" w14:textId="423592D1" w:rsidR="00DC30B6" w:rsidRPr="00051B76" w:rsidRDefault="00DC30B6" w:rsidP="00F8769E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System finansowania rewitalizacji – m.in. zaprezentowanie logiki i struktury finansowania rewitalizacji, dyskusja na temat sposobów finansowania rewitalizacji przez gminy.</w:t>
            </w:r>
          </w:p>
        </w:tc>
      </w:tr>
      <w:tr w:rsidR="00DC30B6" w:rsidRPr="007E463B" w14:paraId="401F6E5F" w14:textId="77777777" w:rsidTr="00F8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  <w:vAlign w:val="center"/>
          </w:tcPr>
          <w:p w14:paraId="27C844A0" w14:textId="77777777" w:rsidR="00DC30B6" w:rsidRPr="007E463B" w:rsidRDefault="00DC30B6" w:rsidP="00F8769E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7797" w:type="dxa"/>
          </w:tcPr>
          <w:p w14:paraId="48FD7FDF" w14:textId="77777777" w:rsidR="00DC30B6" w:rsidRPr="00051B76" w:rsidRDefault="00DC30B6" w:rsidP="00F8769E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Warsztat - Gra symulacyjna „Budżet rewitalizacji” (1) – opracowanie budżetu dla konkretnego GPR lub przedsięwzięcia/projektu z GPR</w:t>
            </w:r>
          </w:p>
        </w:tc>
      </w:tr>
      <w:tr w:rsidR="008D59F6" w:rsidRPr="007E463B" w14:paraId="35CB6A42" w14:textId="77777777" w:rsidTr="009629DA">
        <w:trPr>
          <w:trHeight w:val="397"/>
        </w:trPr>
        <w:tc>
          <w:tcPr>
            <w:tcW w:w="1696" w:type="dxa"/>
            <w:vAlign w:val="center"/>
          </w:tcPr>
          <w:p w14:paraId="0F7127A2" w14:textId="1187C191" w:rsidR="008D59F6" w:rsidRPr="007E463B" w:rsidRDefault="003F0D01" w:rsidP="00DB068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35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</w:t>
            </w:r>
            <w:r w:rsidR="005258D8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5258D8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797" w:type="dxa"/>
          </w:tcPr>
          <w:p w14:paraId="030A1B71" w14:textId="06D3A480" w:rsidR="00036364" w:rsidRPr="00051B76" w:rsidRDefault="00DC30B6" w:rsidP="00036364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51B76">
              <w:rPr>
                <w:rFonts w:ascii="Arial" w:hAnsi="Arial" w:cs="Arial"/>
                <w:sz w:val="24"/>
                <w:szCs w:val="24"/>
              </w:rPr>
              <w:t>Mikrogranty</w:t>
            </w:r>
            <w:proofErr w:type="spellEnd"/>
            <w:r w:rsidRPr="00051B76">
              <w:rPr>
                <w:rFonts w:ascii="Arial" w:hAnsi="Arial" w:cs="Arial"/>
                <w:sz w:val="24"/>
                <w:szCs w:val="24"/>
              </w:rPr>
              <w:t xml:space="preserve"> i dotacje gminne – m.in. sposoby angażowania NGO, mieszkańców i sektor prywatny, budowa realnych partnerstw, wypracowanie modelu projektowania i wdrażania prostych oraz efektywnych mechanizmów </w:t>
            </w:r>
            <w:proofErr w:type="spellStart"/>
            <w:r w:rsidRPr="00051B76">
              <w:rPr>
                <w:rFonts w:ascii="Arial" w:hAnsi="Arial" w:cs="Arial"/>
                <w:sz w:val="24"/>
                <w:szCs w:val="24"/>
              </w:rPr>
              <w:t>mikrograntów</w:t>
            </w:r>
            <w:proofErr w:type="spellEnd"/>
            <w:r w:rsidRPr="00051B76">
              <w:rPr>
                <w:rFonts w:ascii="Arial" w:hAnsi="Arial" w:cs="Arial"/>
                <w:sz w:val="24"/>
                <w:szCs w:val="24"/>
              </w:rPr>
              <w:t xml:space="preserve"> wspierających oddolne inicjatywy mieszkańców.</w:t>
            </w:r>
            <w:r w:rsidRPr="00051B76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DB0688" w:rsidRPr="007E463B" w14:paraId="4D84B997" w14:textId="6D724D2B" w:rsidTr="00962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  <w:vAlign w:val="center"/>
          </w:tcPr>
          <w:p w14:paraId="703E093A" w14:textId="42253744" w:rsidR="00DB0688" w:rsidRPr="007E463B" w:rsidRDefault="0071719A" w:rsidP="00DB068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1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312AC5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797" w:type="dxa"/>
          </w:tcPr>
          <w:p w14:paraId="550759D0" w14:textId="66815E05" w:rsidR="00DB0688" w:rsidRPr="00051B76" w:rsidRDefault="0071719A" w:rsidP="00DB068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Przerwa</w:t>
            </w:r>
          </w:p>
        </w:tc>
      </w:tr>
      <w:tr w:rsidR="00DB0688" w:rsidRPr="007E463B" w14:paraId="7B82DBC3" w14:textId="77777777" w:rsidTr="00E17825">
        <w:trPr>
          <w:trHeight w:val="397"/>
        </w:trPr>
        <w:tc>
          <w:tcPr>
            <w:tcW w:w="1696" w:type="dxa"/>
            <w:vAlign w:val="center"/>
          </w:tcPr>
          <w:p w14:paraId="5E61AEB6" w14:textId="7155B658" w:rsidR="00DB0688" w:rsidRPr="007E463B" w:rsidRDefault="00DB0688" w:rsidP="00DB0688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1</w:t>
            </w:r>
            <w:r w:rsidR="00036364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7797" w:type="dxa"/>
          </w:tcPr>
          <w:p w14:paraId="6478708E" w14:textId="67DEFE6D" w:rsidR="00036364" w:rsidRPr="00051B76" w:rsidRDefault="00DC30B6" w:rsidP="00DB0688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Gra symulacyjna „Budżet rewitalizacji” (2) – opracowanie budżetu dla konkretnego GPR lub przedsięwzięcia/projektu z GPR</w:t>
            </w:r>
          </w:p>
        </w:tc>
      </w:tr>
      <w:tr w:rsidR="00DC30B6" w:rsidRPr="007E463B" w14:paraId="16EB2C27" w14:textId="77777777" w:rsidTr="00F87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</w:tcPr>
          <w:p w14:paraId="0CBD978C" w14:textId="457B8993" w:rsidR="00DC30B6" w:rsidRPr="007E463B" w:rsidRDefault="00DC30B6" w:rsidP="00F8769E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13.45 </w:t>
            </w:r>
            <w:r w:rsidR="00051B76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14.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97" w:type="dxa"/>
            <w:vAlign w:val="center"/>
          </w:tcPr>
          <w:p w14:paraId="606B7EC5" w14:textId="77777777" w:rsidR="00DC30B6" w:rsidRPr="00051B76" w:rsidRDefault="00DC30B6" w:rsidP="00F8769E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Finansowanie hybrydowe i montaż finansowy – m.in. zaprezentowanie możliwości łączenia różnych źródeł finansowania.</w:t>
            </w:r>
          </w:p>
        </w:tc>
      </w:tr>
      <w:tr w:rsidR="00C1382B" w:rsidRPr="007E463B" w14:paraId="6AC95A8F" w14:textId="77777777" w:rsidTr="008E2580">
        <w:trPr>
          <w:trHeight w:val="397"/>
        </w:trPr>
        <w:tc>
          <w:tcPr>
            <w:tcW w:w="1696" w:type="dxa"/>
          </w:tcPr>
          <w:p w14:paraId="2409068D" w14:textId="284A23C8" w:rsidR="00C1382B" w:rsidRPr="007E463B" w:rsidRDefault="00C1382B" w:rsidP="00C1382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DC30B6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51B76"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14.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97" w:type="dxa"/>
            <w:vAlign w:val="center"/>
          </w:tcPr>
          <w:p w14:paraId="094D051A" w14:textId="2E0F9756" w:rsidR="00146383" w:rsidRPr="00051B76" w:rsidRDefault="00051B76" w:rsidP="00C1382B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051B76">
              <w:rPr>
                <w:rFonts w:ascii="Arial" w:hAnsi="Arial" w:cs="Arial"/>
                <w:sz w:val="24"/>
                <w:szCs w:val="24"/>
              </w:rPr>
              <w:t>Gra symulacyjna „Budżet rewitalizacji” (3) – opracowanie budżetu dla konkretnego GPR lub przedsięwzięcia/projektu z GPR</w:t>
            </w:r>
            <w:r w:rsidR="00DC30B6" w:rsidRPr="00051B7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1382B" w:rsidRPr="007E463B" w14:paraId="340454FC" w14:textId="03697A96" w:rsidTr="00962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696" w:type="dxa"/>
            <w:vAlign w:val="center"/>
            <w:hideMark/>
          </w:tcPr>
          <w:p w14:paraId="61E453E5" w14:textId="74522BC2" w:rsidR="00C1382B" w:rsidRPr="007E463B" w:rsidRDefault="00C1382B" w:rsidP="00C1382B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14.</w:t>
            </w:r>
            <w:r w:rsidR="00051B76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7E463B">
              <w:rPr>
                <w:rFonts w:ascii="Arial" w:hAnsi="Arial" w:cs="Arial"/>
                <w:b/>
                <w:bCs/>
                <w:sz w:val="24"/>
                <w:szCs w:val="24"/>
              </w:rPr>
              <w:t>0 – 15.00</w:t>
            </w:r>
          </w:p>
        </w:tc>
        <w:tc>
          <w:tcPr>
            <w:tcW w:w="7797" w:type="dxa"/>
          </w:tcPr>
          <w:p w14:paraId="009083CB" w14:textId="2C4384BB" w:rsidR="00C1382B" w:rsidRPr="007E463B" w:rsidRDefault="00C1382B" w:rsidP="00C1382B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7E463B">
              <w:rPr>
                <w:rFonts w:ascii="Arial" w:hAnsi="Arial" w:cs="Arial"/>
                <w:sz w:val="24"/>
                <w:szCs w:val="24"/>
              </w:rPr>
              <w:t>Podsumowanie i zakończenie s</w:t>
            </w:r>
            <w:r w:rsidR="002F19CA">
              <w:rPr>
                <w:rFonts w:ascii="Arial" w:hAnsi="Arial" w:cs="Arial"/>
                <w:sz w:val="24"/>
                <w:szCs w:val="24"/>
              </w:rPr>
              <w:t>potkania</w:t>
            </w:r>
          </w:p>
        </w:tc>
      </w:tr>
      <w:bookmarkEnd w:id="0"/>
    </w:tbl>
    <w:p w14:paraId="362030AD" w14:textId="51E11295" w:rsidR="00B90BEA" w:rsidRPr="007E463B" w:rsidRDefault="00B90BEA">
      <w:pPr>
        <w:rPr>
          <w:rFonts w:ascii="Arial" w:hAnsi="Arial" w:cs="Arial"/>
          <w:b/>
          <w:bCs/>
          <w:sz w:val="24"/>
          <w:szCs w:val="24"/>
        </w:rPr>
      </w:pPr>
    </w:p>
    <w:sectPr w:rsidR="00B90BEA" w:rsidRPr="007E463B" w:rsidSect="00D515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32A3" w14:textId="77777777" w:rsidR="00BB4267" w:rsidRDefault="00BB4267" w:rsidP="00A72FD9">
      <w:pPr>
        <w:spacing w:after="0" w:line="240" w:lineRule="auto"/>
      </w:pPr>
      <w:r>
        <w:separator/>
      </w:r>
    </w:p>
  </w:endnote>
  <w:endnote w:type="continuationSeparator" w:id="0">
    <w:p w14:paraId="3ACE0841" w14:textId="77777777" w:rsidR="00BB4267" w:rsidRDefault="00BB4267" w:rsidP="00A72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9E8AC" w14:textId="77777777" w:rsidR="007E3BDF" w:rsidRDefault="007E3B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D1F5" w14:textId="204F01D9" w:rsidR="00A72FD9" w:rsidRDefault="00B90BEA" w:rsidP="00860E14">
    <w:pPr>
      <w:pStyle w:val="Stopka"/>
      <w:jc w:val="center"/>
    </w:pPr>
    <w:r w:rsidRPr="00726301">
      <w:rPr>
        <w:noProof/>
      </w:rPr>
      <w:drawing>
        <wp:anchor distT="0" distB="0" distL="114300" distR="114300" simplePos="0" relativeHeight="251661312" behindDoc="0" locked="0" layoutInCell="1" allowOverlap="1" wp14:anchorId="1206AE7D" wp14:editId="7B45686A">
          <wp:simplePos x="0" y="0"/>
          <wp:positionH relativeFrom="margin">
            <wp:align>center</wp:align>
          </wp:positionH>
          <wp:positionV relativeFrom="paragraph">
            <wp:posOffset>-508635</wp:posOffset>
          </wp:positionV>
          <wp:extent cx="4856480" cy="666483"/>
          <wp:effectExtent l="0" t="0" r="0" b="0"/>
          <wp:wrapNone/>
          <wp:docPr id="1087976288" name="Obraz 4" descr="Pole tekstowe zawiera: logo Pomocy  Technicznej dla Funduszy Europejskich, flagę Polski z napisem: po prawej stronie Rzeczpospolita Polska, flagę Unii Europejskiej po prawej stronie z napisem po prawej stronie: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976288" name="Obraz 4" descr="Pole tekstowe zawiera: logo Pomocy  Technicznej dla Funduszy Europejskich, flagę Polski z napisem: po prawej stronie Rzeczpospolita Polska, flagę Unii Europejskiej po prawej stronie z napisem po prawej stronie: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6480" cy="666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DB259" w14:textId="77777777" w:rsidR="007E3BDF" w:rsidRDefault="007E3B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E34ED" w14:textId="77777777" w:rsidR="00BB4267" w:rsidRDefault="00BB4267" w:rsidP="00A72FD9">
      <w:pPr>
        <w:spacing w:after="0" w:line="240" w:lineRule="auto"/>
      </w:pPr>
      <w:r>
        <w:separator/>
      </w:r>
    </w:p>
  </w:footnote>
  <w:footnote w:type="continuationSeparator" w:id="0">
    <w:p w14:paraId="7F269A9F" w14:textId="77777777" w:rsidR="00BB4267" w:rsidRDefault="00BB4267" w:rsidP="00A72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74311" w14:textId="77777777" w:rsidR="007E3BDF" w:rsidRDefault="007E3BD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743F" w14:textId="7F3D80F5" w:rsidR="002E6256" w:rsidRDefault="002E6256">
    <w:pPr>
      <w:pStyle w:val="Nagwek"/>
      <w:rPr>
        <w:noProof/>
      </w:rPr>
    </w:pPr>
    <w:r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6B6CE1BC" wp14:editId="716DC043">
          <wp:simplePos x="0" y="0"/>
          <wp:positionH relativeFrom="margin">
            <wp:posOffset>19050</wp:posOffset>
          </wp:positionH>
          <wp:positionV relativeFrom="paragraph">
            <wp:posOffset>112395</wp:posOffset>
          </wp:positionV>
          <wp:extent cx="572135" cy="572135"/>
          <wp:effectExtent l="0" t="0" r="0" b="0"/>
          <wp:wrapNone/>
          <wp:docPr id="1894531254" name="Obraz 1" descr="Obraz zawierający Czcionka, logo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531254" name="Obraz 1" descr="Obraz zawierający Czcionka, logo, Grafika, symbol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135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CB52728" wp14:editId="2795C665">
          <wp:simplePos x="0" y="0"/>
          <wp:positionH relativeFrom="margin">
            <wp:posOffset>4500880</wp:posOffset>
          </wp:positionH>
          <wp:positionV relativeFrom="paragraph">
            <wp:posOffset>3810</wp:posOffset>
          </wp:positionV>
          <wp:extent cx="1697355" cy="663575"/>
          <wp:effectExtent l="0" t="0" r="0" b="3175"/>
          <wp:wrapNone/>
          <wp:docPr id="1704134375" name="Obraz 1" descr="Obraz zawierający tekst, logo, Czcionk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134375" name="Obraz 1" descr="Obraz zawierający tekst, logo, Czcionka, Grafika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355" cy="66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26301">
      <w:rPr>
        <w:b/>
        <w:bCs/>
        <w:noProof/>
        <w:color w:val="0070C0"/>
        <w:sz w:val="28"/>
        <w:szCs w:val="28"/>
      </w:rPr>
      <w:drawing>
        <wp:anchor distT="0" distB="0" distL="114300" distR="114300" simplePos="0" relativeHeight="251659264" behindDoc="0" locked="0" layoutInCell="1" allowOverlap="1" wp14:anchorId="0E9662DE" wp14:editId="7C8C043F">
          <wp:simplePos x="0" y="0"/>
          <wp:positionH relativeFrom="margin">
            <wp:align>center</wp:align>
          </wp:positionH>
          <wp:positionV relativeFrom="paragraph">
            <wp:posOffset>121920</wp:posOffset>
          </wp:positionV>
          <wp:extent cx="1514475" cy="448435"/>
          <wp:effectExtent l="0" t="0" r="0" b="8890"/>
          <wp:wrapNone/>
          <wp:docPr id="1799522837" name="Obraz 1" descr="Obraz zawierający Czcionka, Grafika, logo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522837" name="Obraz 1" descr="Obraz zawierający Czcionka, Grafika, logo, tekst&#10;&#10;Opis wygenerowany automatyczni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44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0BEA">
      <w:rPr>
        <w:b/>
        <w:bCs/>
      </w:rPr>
      <w:tab/>
      <w:t xml:space="preserve">                </w:t>
    </w:r>
    <w:r w:rsidR="00726301" w:rsidRPr="00726301">
      <w:rPr>
        <w:b/>
        <w:bCs/>
      </w:rPr>
      <w:t xml:space="preserve"> </w:t>
    </w:r>
    <w:r w:rsidR="00B90BEA">
      <w:rPr>
        <w:noProof/>
      </w:rPr>
      <w:t xml:space="preserve">      </w:t>
    </w:r>
  </w:p>
  <w:p w14:paraId="51D691B9" w14:textId="74A17A1B" w:rsidR="002E6256" w:rsidRDefault="002E6256">
    <w:pPr>
      <w:pStyle w:val="Nagwek"/>
      <w:rPr>
        <w:noProof/>
      </w:rPr>
    </w:pPr>
  </w:p>
  <w:p w14:paraId="56D28D29" w14:textId="77777777" w:rsidR="002E6256" w:rsidRDefault="002E6256">
    <w:pPr>
      <w:pStyle w:val="Nagwek"/>
      <w:rPr>
        <w:noProof/>
      </w:rPr>
    </w:pPr>
  </w:p>
  <w:p w14:paraId="1660341D" w14:textId="77777777" w:rsidR="002E6256" w:rsidRDefault="002E6256">
    <w:pPr>
      <w:pStyle w:val="Nagwek"/>
      <w:rPr>
        <w:noProof/>
      </w:rPr>
    </w:pPr>
  </w:p>
  <w:p w14:paraId="7FD2BCC5" w14:textId="452BCE9B" w:rsidR="00726301" w:rsidRDefault="00B90BEA">
    <w:pPr>
      <w:pStyle w:val="Nagwek"/>
    </w:pPr>
    <w:r>
      <w:rPr>
        <w:noProof/>
      </w:rPr>
      <w:t xml:space="preserve">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550CE" w14:textId="77777777" w:rsidR="007E3BDF" w:rsidRDefault="007E3BD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48"/>
    <w:rsid w:val="00036364"/>
    <w:rsid w:val="00041AD6"/>
    <w:rsid w:val="00045CC6"/>
    <w:rsid w:val="00046321"/>
    <w:rsid w:val="000469E8"/>
    <w:rsid w:val="00046EB0"/>
    <w:rsid w:val="00051B76"/>
    <w:rsid w:val="000648D5"/>
    <w:rsid w:val="000763E5"/>
    <w:rsid w:val="00082315"/>
    <w:rsid w:val="000869AA"/>
    <w:rsid w:val="000C6C3C"/>
    <w:rsid w:val="000D0CD5"/>
    <w:rsid w:val="001125BB"/>
    <w:rsid w:val="00113E7D"/>
    <w:rsid w:val="00135051"/>
    <w:rsid w:val="001429C3"/>
    <w:rsid w:val="00146383"/>
    <w:rsid w:val="001557AD"/>
    <w:rsid w:val="00172CB5"/>
    <w:rsid w:val="001D43EE"/>
    <w:rsid w:val="001F48D9"/>
    <w:rsid w:val="001F4D5D"/>
    <w:rsid w:val="00200129"/>
    <w:rsid w:val="00225EDD"/>
    <w:rsid w:val="002353B1"/>
    <w:rsid w:val="0025124E"/>
    <w:rsid w:val="002808A4"/>
    <w:rsid w:val="002C2995"/>
    <w:rsid w:val="002E6256"/>
    <w:rsid w:val="002F19CA"/>
    <w:rsid w:val="002F589B"/>
    <w:rsid w:val="00312AC5"/>
    <w:rsid w:val="00376D99"/>
    <w:rsid w:val="0038797C"/>
    <w:rsid w:val="00397F48"/>
    <w:rsid w:val="003A60E0"/>
    <w:rsid w:val="003B4D07"/>
    <w:rsid w:val="003C1D99"/>
    <w:rsid w:val="003D3008"/>
    <w:rsid w:val="003E1AE5"/>
    <w:rsid w:val="003E2C6A"/>
    <w:rsid w:val="003E308A"/>
    <w:rsid w:val="003F0D01"/>
    <w:rsid w:val="003F102E"/>
    <w:rsid w:val="004061B1"/>
    <w:rsid w:val="00416F89"/>
    <w:rsid w:val="0042531E"/>
    <w:rsid w:val="0042728A"/>
    <w:rsid w:val="00470255"/>
    <w:rsid w:val="00486365"/>
    <w:rsid w:val="00493171"/>
    <w:rsid w:val="004A2853"/>
    <w:rsid w:val="004C4A6F"/>
    <w:rsid w:val="004C5FFD"/>
    <w:rsid w:val="004E26D1"/>
    <w:rsid w:val="004E6035"/>
    <w:rsid w:val="005258D8"/>
    <w:rsid w:val="00581922"/>
    <w:rsid w:val="005C284F"/>
    <w:rsid w:val="005E366E"/>
    <w:rsid w:val="005E595B"/>
    <w:rsid w:val="0061684D"/>
    <w:rsid w:val="00637672"/>
    <w:rsid w:val="00641559"/>
    <w:rsid w:val="00652AD6"/>
    <w:rsid w:val="00653671"/>
    <w:rsid w:val="00665C64"/>
    <w:rsid w:val="006732B5"/>
    <w:rsid w:val="006760EB"/>
    <w:rsid w:val="00697748"/>
    <w:rsid w:val="006E71C6"/>
    <w:rsid w:val="00705AF4"/>
    <w:rsid w:val="00714D56"/>
    <w:rsid w:val="0071719A"/>
    <w:rsid w:val="007200BC"/>
    <w:rsid w:val="007210BD"/>
    <w:rsid w:val="0072293F"/>
    <w:rsid w:val="00723538"/>
    <w:rsid w:val="00726301"/>
    <w:rsid w:val="00726D1D"/>
    <w:rsid w:val="00760CEB"/>
    <w:rsid w:val="00761FE2"/>
    <w:rsid w:val="007873DF"/>
    <w:rsid w:val="007A2020"/>
    <w:rsid w:val="007A3E5A"/>
    <w:rsid w:val="007A5DC0"/>
    <w:rsid w:val="007B3212"/>
    <w:rsid w:val="007C08EF"/>
    <w:rsid w:val="007C0970"/>
    <w:rsid w:val="007C5F0E"/>
    <w:rsid w:val="007E3BDF"/>
    <w:rsid w:val="007E463B"/>
    <w:rsid w:val="00824532"/>
    <w:rsid w:val="00826B3E"/>
    <w:rsid w:val="00835C78"/>
    <w:rsid w:val="00856D5F"/>
    <w:rsid w:val="00860E14"/>
    <w:rsid w:val="00872DD3"/>
    <w:rsid w:val="00895302"/>
    <w:rsid w:val="008C67C3"/>
    <w:rsid w:val="008D3FEF"/>
    <w:rsid w:val="008D59F6"/>
    <w:rsid w:val="008F5E71"/>
    <w:rsid w:val="0092375E"/>
    <w:rsid w:val="009301F4"/>
    <w:rsid w:val="00961C8E"/>
    <w:rsid w:val="00961D59"/>
    <w:rsid w:val="009629DA"/>
    <w:rsid w:val="00973117"/>
    <w:rsid w:val="009746C3"/>
    <w:rsid w:val="0098236C"/>
    <w:rsid w:val="009C076E"/>
    <w:rsid w:val="009D0607"/>
    <w:rsid w:val="00A31566"/>
    <w:rsid w:val="00A40AA9"/>
    <w:rsid w:val="00A669E5"/>
    <w:rsid w:val="00A72FD9"/>
    <w:rsid w:val="00A86ADC"/>
    <w:rsid w:val="00A9768D"/>
    <w:rsid w:val="00A9770C"/>
    <w:rsid w:val="00AD37F4"/>
    <w:rsid w:val="00AD7712"/>
    <w:rsid w:val="00B27CFC"/>
    <w:rsid w:val="00B44F80"/>
    <w:rsid w:val="00B5107D"/>
    <w:rsid w:val="00B833A0"/>
    <w:rsid w:val="00B90BEA"/>
    <w:rsid w:val="00BA6285"/>
    <w:rsid w:val="00BB4267"/>
    <w:rsid w:val="00BC23AB"/>
    <w:rsid w:val="00BC3F95"/>
    <w:rsid w:val="00C007A0"/>
    <w:rsid w:val="00C1351D"/>
    <w:rsid w:val="00C1382B"/>
    <w:rsid w:val="00C402AE"/>
    <w:rsid w:val="00C90935"/>
    <w:rsid w:val="00C970B2"/>
    <w:rsid w:val="00CA0297"/>
    <w:rsid w:val="00CC651E"/>
    <w:rsid w:val="00CE467C"/>
    <w:rsid w:val="00D458ED"/>
    <w:rsid w:val="00D5153F"/>
    <w:rsid w:val="00D62473"/>
    <w:rsid w:val="00D6775B"/>
    <w:rsid w:val="00D77416"/>
    <w:rsid w:val="00D82ADF"/>
    <w:rsid w:val="00D90F8F"/>
    <w:rsid w:val="00DB0688"/>
    <w:rsid w:val="00DC30B6"/>
    <w:rsid w:val="00DD5BC6"/>
    <w:rsid w:val="00DF657C"/>
    <w:rsid w:val="00E23603"/>
    <w:rsid w:val="00E26925"/>
    <w:rsid w:val="00E40B86"/>
    <w:rsid w:val="00E41686"/>
    <w:rsid w:val="00E52049"/>
    <w:rsid w:val="00E77B25"/>
    <w:rsid w:val="00EB4E87"/>
    <w:rsid w:val="00EC4E48"/>
    <w:rsid w:val="00F42596"/>
    <w:rsid w:val="00F52E38"/>
    <w:rsid w:val="00F90D9E"/>
    <w:rsid w:val="00FA5A86"/>
    <w:rsid w:val="00FB2F93"/>
    <w:rsid w:val="00FC14A0"/>
    <w:rsid w:val="00FC5FF8"/>
    <w:rsid w:val="00FC623F"/>
    <w:rsid w:val="00FF31C8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3BE4C"/>
  <w15:chartTrackingRefBased/>
  <w15:docId w15:val="{A48CDD79-C09B-4EA8-9336-E4686EB2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1686"/>
  </w:style>
  <w:style w:type="paragraph" w:styleId="Nagwek1">
    <w:name w:val="heading 1"/>
    <w:basedOn w:val="Normalny"/>
    <w:next w:val="Normalny"/>
    <w:link w:val="Nagwek1Znak"/>
    <w:uiPriority w:val="9"/>
    <w:qFormat/>
    <w:rsid w:val="00697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7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7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7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7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7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7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7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7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7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7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7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77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77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77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77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77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77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7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7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7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7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77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77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77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7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77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7748"/>
    <w:rPr>
      <w:b/>
      <w:bCs/>
      <w:smallCaps/>
      <w:color w:val="0F4761" w:themeColor="accent1" w:themeShade="BF"/>
      <w:spacing w:val="5"/>
    </w:rPr>
  </w:style>
  <w:style w:type="table" w:styleId="Siatkatabelijasna">
    <w:name w:val="Grid Table Light"/>
    <w:basedOn w:val="Standardowy"/>
    <w:uiPriority w:val="40"/>
    <w:rsid w:val="006977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basedOn w:val="Domylnaczcionkaakapitu"/>
    <w:uiPriority w:val="99"/>
    <w:unhideWhenUsed/>
    <w:rsid w:val="00697748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2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2FD9"/>
  </w:style>
  <w:style w:type="paragraph" w:styleId="Stopka">
    <w:name w:val="footer"/>
    <w:basedOn w:val="Normalny"/>
    <w:link w:val="StopkaZnak"/>
    <w:uiPriority w:val="99"/>
    <w:unhideWhenUsed/>
    <w:rsid w:val="00A72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2FD9"/>
  </w:style>
  <w:style w:type="table" w:styleId="Zwykatabela1">
    <w:name w:val="Plain Table 1"/>
    <w:basedOn w:val="Standardowy"/>
    <w:uiPriority w:val="41"/>
    <w:rsid w:val="006760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E2692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6775B"/>
    <w:rPr>
      <w:color w:val="96607D" w:themeColor="followedHyperlink"/>
      <w:u w:val="single"/>
    </w:rPr>
  </w:style>
  <w:style w:type="table" w:customStyle="1" w:styleId="TableGrid">
    <w:name w:val="TableGrid"/>
    <w:rsid w:val="00860E14"/>
    <w:pPr>
      <w:spacing w:after="0" w:line="240" w:lineRule="auto"/>
    </w:pPr>
    <w:rPr>
      <w:rFonts w:eastAsia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36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ACD4B.7BE90140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DE4D0-8BA4-4336-8E85-7BB4CBD8F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</dc:creator>
  <cp:keywords/>
  <dc:description/>
  <cp:lastModifiedBy>Dobrowolski Jacek</cp:lastModifiedBy>
  <cp:revision>2</cp:revision>
  <cp:lastPrinted>2024-12-15T16:26:00Z</cp:lastPrinted>
  <dcterms:created xsi:type="dcterms:W3CDTF">2026-10-15T08:34:00Z</dcterms:created>
  <dcterms:modified xsi:type="dcterms:W3CDTF">2026-10-15T08:34:00Z</dcterms:modified>
</cp:coreProperties>
</file>